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F5F2" w14:textId="77777777" w:rsidR="001C436D" w:rsidRPr="001C436D" w:rsidRDefault="001C436D" w:rsidP="001C436D">
      <w:pPr>
        <w:rPr>
          <w:b/>
          <w:bCs/>
        </w:rPr>
      </w:pPr>
      <w:r w:rsidRPr="001C436D">
        <w:rPr>
          <w:b/>
          <w:bCs/>
        </w:rPr>
        <w:t>Checklist: Science pre-placement - Student readiness and objective setting</w:t>
      </w:r>
    </w:p>
    <w:p w14:paraId="30DD421E" w14:textId="273CBBCA" w:rsidR="001C436D" w:rsidRDefault="001C436D" w:rsidP="001C436D">
      <w:r>
        <w:t xml:space="preserve">Learning </w:t>
      </w:r>
      <w:r w:rsidRPr="008E3613">
        <w:t xml:space="preserve">objectives </w:t>
      </w:r>
      <w:r>
        <w:t xml:space="preserve">are set for students in the pre-placement stage, that is when they have successfully applied for a placement but before it starts. The objectives </w:t>
      </w:r>
      <w:r w:rsidRPr="008E3613">
        <w:t xml:space="preserve">align to </w:t>
      </w:r>
      <w:r>
        <w:t xml:space="preserve">the </w:t>
      </w:r>
      <w:r w:rsidRPr="008E3613">
        <w:t>employer</w:t>
      </w:r>
      <w:r>
        <w:t xml:space="preserve">’s </w:t>
      </w:r>
      <w:r w:rsidRPr="008E3613">
        <w:t>requirements</w:t>
      </w:r>
      <w:r>
        <w:t xml:space="preserve"> for students when they start their placement. The objectives also help to prepare students by getting them ready for the </w:t>
      </w:r>
      <w:r w:rsidRPr="008E3613">
        <w:t>challeng</w:t>
      </w:r>
      <w:r>
        <w:t xml:space="preserve">e of going into the placement. Objectives should be set using </w:t>
      </w:r>
      <w:r w:rsidRPr="008E3613">
        <w:t xml:space="preserve">information </w:t>
      </w:r>
      <w:r>
        <w:t xml:space="preserve">captured </w:t>
      </w:r>
      <w:r w:rsidRPr="008E3613">
        <w:t>during discussion</w:t>
      </w:r>
      <w:r>
        <w:t>s</w:t>
      </w:r>
      <w:r w:rsidRPr="008E3613">
        <w:t xml:space="preserve"> </w:t>
      </w:r>
      <w:r>
        <w:t xml:space="preserve">about the placement with </w:t>
      </w:r>
      <w:r w:rsidRPr="008E3613">
        <w:t>employers</w:t>
      </w:r>
      <w:r>
        <w:t xml:space="preserve">.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114"/>
        <w:gridCol w:w="5103"/>
        <w:gridCol w:w="6237"/>
      </w:tblGrid>
      <w:tr w:rsidR="001C436D" w14:paraId="3916F386" w14:textId="77777777" w:rsidTr="001046BC">
        <w:tc>
          <w:tcPr>
            <w:tcW w:w="3114" w:type="dxa"/>
          </w:tcPr>
          <w:p w14:paraId="333E5390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5103" w:type="dxa"/>
          </w:tcPr>
          <w:p w14:paraId="79188CE8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Purpose</w:t>
            </w:r>
          </w:p>
        </w:tc>
        <w:tc>
          <w:tcPr>
            <w:tcW w:w="6237" w:type="dxa"/>
          </w:tcPr>
          <w:p w14:paraId="3DE29911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Timeline</w:t>
            </w:r>
          </w:p>
        </w:tc>
      </w:tr>
      <w:tr w:rsidR="001C436D" w14:paraId="26C1B811" w14:textId="77777777" w:rsidTr="001046BC">
        <w:tc>
          <w:tcPr>
            <w:tcW w:w="3114" w:type="dxa"/>
          </w:tcPr>
          <w:p w14:paraId="4089270F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Conduct a h</w:t>
            </w:r>
            <w:r w:rsidRPr="008A7B32">
              <w:rPr>
                <w:rFonts w:cstheme="minorHAnsi"/>
                <w:lang w:val="en-US"/>
              </w:rPr>
              <w:t xml:space="preserve">ealth </w:t>
            </w:r>
            <w:r>
              <w:rPr>
                <w:rFonts w:cstheme="minorHAnsi"/>
                <w:lang w:val="en-US"/>
              </w:rPr>
              <w:t>a</w:t>
            </w:r>
            <w:r w:rsidRPr="008A7B32">
              <w:rPr>
                <w:rFonts w:cstheme="minorHAnsi"/>
                <w:lang w:val="en-US"/>
              </w:rPr>
              <w:t>ssessment</w:t>
            </w:r>
          </w:p>
        </w:tc>
        <w:tc>
          <w:tcPr>
            <w:tcW w:w="5103" w:type="dxa"/>
          </w:tcPr>
          <w:p w14:paraId="68AC39F2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meet the employer’s r</w:t>
            </w:r>
            <w:r w:rsidRPr="008A7B32">
              <w:rPr>
                <w:rFonts w:cstheme="minorHAnsi"/>
                <w:lang w:val="en-US"/>
              </w:rPr>
              <w:t>equirement for health screening</w:t>
            </w:r>
            <w:r>
              <w:rPr>
                <w:rFonts w:cstheme="minorHAnsi"/>
                <w:lang w:val="en-US"/>
              </w:rPr>
              <w:t xml:space="preserve"> where applicable including to understand about vaccination requirements and DBS checks</w:t>
            </w:r>
          </w:p>
        </w:tc>
        <w:tc>
          <w:tcPr>
            <w:tcW w:w="6237" w:type="dxa"/>
          </w:tcPr>
          <w:p w14:paraId="3237EE67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 w:rsidRPr="008A7B32">
              <w:rPr>
                <w:rFonts w:cstheme="minorHAnsi"/>
                <w:lang w:val="en-US"/>
              </w:rPr>
              <w:t xml:space="preserve">3 months </w:t>
            </w:r>
            <w:r>
              <w:rPr>
                <w:rFonts w:cstheme="minorHAnsi"/>
                <w:lang w:val="en-US"/>
              </w:rPr>
              <w:t>before the placement is due to start</w:t>
            </w:r>
          </w:p>
        </w:tc>
      </w:tr>
      <w:tr w:rsidR="001C436D" w14:paraId="75671E1A" w14:textId="77777777" w:rsidTr="001046BC">
        <w:tc>
          <w:tcPr>
            <w:tcW w:w="3114" w:type="dxa"/>
          </w:tcPr>
          <w:p w14:paraId="70BF2510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Develop e</w:t>
            </w:r>
            <w:r w:rsidRPr="008A7B32">
              <w:rPr>
                <w:rFonts w:cstheme="minorHAnsi"/>
                <w:lang w:val="en-US"/>
              </w:rPr>
              <w:t xml:space="preserve">mployability </w:t>
            </w:r>
            <w:r>
              <w:rPr>
                <w:rFonts w:cstheme="minorHAnsi"/>
                <w:lang w:val="en-US"/>
              </w:rPr>
              <w:t>s</w:t>
            </w:r>
            <w:r w:rsidRPr="008A7B32">
              <w:rPr>
                <w:rFonts w:cstheme="minorHAnsi"/>
                <w:lang w:val="en-US"/>
              </w:rPr>
              <w:t>kills</w:t>
            </w:r>
          </w:p>
        </w:tc>
        <w:tc>
          <w:tcPr>
            <w:tcW w:w="5103" w:type="dxa"/>
          </w:tcPr>
          <w:p w14:paraId="6FFDBC30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ensure the student has the necessary c</w:t>
            </w:r>
            <w:r w:rsidRPr="008A7B32">
              <w:rPr>
                <w:rFonts w:cstheme="minorHAnsi"/>
                <w:lang w:val="en-US"/>
              </w:rPr>
              <w:t xml:space="preserve">ommunication </w:t>
            </w:r>
            <w:r>
              <w:rPr>
                <w:rFonts w:cstheme="minorHAnsi"/>
                <w:lang w:val="en-US"/>
              </w:rPr>
              <w:t xml:space="preserve">and teamwork </w:t>
            </w:r>
            <w:r w:rsidRPr="008A7B32">
              <w:rPr>
                <w:rFonts w:cstheme="minorHAnsi"/>
                <w:lang w:val="en-US"/>
              </w:rPr>
              <w:t xml:space="preserve">skills </w:t>
            </w:r>
            <w:r>
              <w:rPr>
                <w:rFonts w:cstheme="minorHAnsi"/>
                <w:lang w:val="en-US"/>
              </w:rPr>
              <w:t>needed within the placement</w:t>
            </w:r>
          </w:p>
        </w:tc>
        <w:tc>
          <w:tcPr>
            <w:tcW w:w="6237" w:type="dxa"/>
          </w:tcPr>
          <w:p w14:paraId="7429747F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Throughout the pre-placement period through </w:t>
            </w:r>
            <w:r w:rsidRPr="008A7B32">
              <w:rPr>
                <w:rFonts w:cstheme="minorHAnsi"/>
                <w:lang w:val="en-US"/>
              </w:rPr>
              <w:t xml:space="preserve">part-time work </w:t>
            </w:r>
            <w:r>
              <w:rPr>
                <w:rFonts w:cstheme="minorHAnsi"/>
                <w:lang w:val="en-US"/>
              </w:rPr>
              <w:t xml:space="preserve">and </w:t>
            </w:r>
            <w:r w:rsidRPr="008A7B32">
              <w:rPr>
                <w:rFonts w:cstheme="minorHAnsi"/>
                <w:lang w:val="en-US"/>
              </w:rPr>
              <w:t>other activities including class-based activity</w:t>
            </w:r>
          </w:p>
        </w:tc>
      </w:tr>
      <w:tr w:rsidR="001C436D" w14:paraId="60F964B5" w14:textId="77777777" w:rsidTr="001046BC">
        <w:tc>
          <w:tcPr>
            <w:tcW w:w="3114" w:type="dxa"/>
          </w:tcPr>
          <w:p w14:paraId="0FFAAFED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bookmarkStart w:id="0" w:name="_Hlk104902322"/>
            <w:bookmarkStart w:id="1" w:name="_Hlk104902331"/>
            <w:r>
              <w:rPr>
                <w:rFonts w:cstheme="minorHAnsi"/>
                <w:lang w:val="en-US"/>
              </w:rPr>
              <w:t>Introduce</w:t>
            </w:r>
            <w:r w:rsidRPr="008A7B32">
              <w:rPr>
                <w:rFonts w:cstheme="minorHAnsi"/>
                <w:lang w:val="en-US"/>
              </w:rPr>
              <w:t xml:space="preserve"> standards, policies, and procedures </w:t>
            </w:r>
          </w:p>
        </w:tc>
        <w:tc>
          <w:tcPr>
            <w:tcW w:w="5103" w:type="dxa"/>
          </w:tcPr>
          <w:p w14:paraId="1F3BE0E8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To help students understand the basics of what the employer expects them to know and how to behave, including </w:t>
            </w:r>
            <w:r w:rsidRPr="008A7B32">
              <w:rPr>
                <w:rFonts w:cstheme="minorHAnsi"/>
                <w:lang w:val="en-US"/>
              </w:rPr>
              <w:t xml:space="preserve">health and safety requirements </w:t>
            </w:r>
          </w:p>
        </w:tc>
        <w:tc>
          <w:tcPr>
            <w:tcW w:w="6237" w:type="dxa"/>
          </w:tcPr>
          <w:p w14:paraId="572FD489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Throughout the pre-placement period through </w:t>
            </w:r>
            <w:r w:rsidRPr="008A7B32">
              <w:rPr>
                <w:rFonts w:cstheme="minorHAnsi"/>
                <w:lang w:val="en-US"/>
              </w:rPr>
              <w:t>assignment</w:t>
            </w:r>
            <w:r>
              <w:rPr>
                <w:rFonts w:cstheme="minorHAnsi"/>
                <w:lang w:val="en-US"/>
              </w:rPr>
              <w:t>s</w:t>
            </w:r>
            <w:r w:rsidRPr="008A7B32">
              <w:rPr>
                <w:rFonts w:cstheme="minorHAnsi"/>
                <w:lang w:val="en-US"/>
              </w:rPr>
              <w:t>, project</w:t>
            </w:r>
            <w:r>
              <w:rPr>
                <w:rFonts w:cstheme="minorHAnsi"/>
                <w:lang w:val="en-US"/>
              </w:rPr>
              <w:t>s,</w:t>
            </w:r>
            <w:r w:rsidRPr="008A7B32">
              <w:rPr>
                <w:rFonts w:cstheme="minorHAnsi"/>
                <w:lang w:val="en-US"/>
              </w:rPr>
              <w:t xml:space="preserve"> or class-based</w:t>
            </w:r>
            <w:r>
              <w:rPr>
                <w:rFonts w:cstheme="minorHAnsi"/>
                <w:lang w:val="en-US"/>
              </w:rPr>
              <w:t xml:space="preserve"> activity</w:t>
            </w:r>
          </w:p>
        </w:tc>
      </w:tr>
      <w:tr w:rsidR="001C436D" w14:paraId="75C7EEA0" w14:textId="77777777" w:rsidTr="001046BC">
        <w:tc>
          <w:tcPr>
            <w:tcW w:w="3114" w:type="dxa"/>
            <w:tcBorders>
              <w:bottom w:val="single" w:sz="4" w:space="0" w:color="auto"/>
            </w:tcBorders>
          </w:tcPr>
          <w:p w14:paraId="5A9964E5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Learn to use </w:t>
            </w:r>
            <w:r w:rsidRPr="008A7B32">
              <w:rPr>
                <w:rFonts w:cstheme="minorHAnsi"/>
                <w:lang w:val="en-US"/>
              </w:rPr>
              <w:t xml:space="preserve">equipment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C089AC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To ensure that students can use equipment such as </w:t>
            </w:r>
            <w:r w:rsidRPr="008A7B32">
              <w:rPr>
                <w:rFonts w:cstheme="minorHAnsi"/>
                <w:lang w:val="en-US"/>
              </w:rPr>
              <w:t>glassware, pipettes, centrifuges</w:t>
            </w:r>
            <w:r>
              <w:rPr>
                <w:rFonts w:cstheme="minorHAnsi"/>
                <w:lang w:val="en-US"/>
              </w:rPr>
              <w:t xml:space="preserve"> and</w:t>
            </w:r>
            <w:r w:rsidRPr="008A7B32">
              <w:rPr>
                <w:rFonts w:cstheme="minorHAnsi"/>
                <w:lang w:val="en-US"/>
              </w:rPr>
              <w:t>, electronic equipment</w:t>
            </w:r>
            <w:r>
              <w:rPr>
                <w:rFonts w:cstheme="minorHAnsi"/>
                <w:lang w:val="en-US"/>
              </w:rPr>
              <w:t>, to at least basic standard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A6E5536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Pre-</w:t>
            </w:r>
            <w:r w:rsidRPr="008A7B32">
              <w:rPr>
                <w:rFonts w:cstheme="minorHAnsi"/>
                <w:lang w:val="en-US"/>
              </w:rPr>
              <w:t xml:space="preserve">placement </w:t>
            </w:r>
            <w:r>
              <w:rPr>
                <w:rFonts w:cstheme="minorHAnsi"/>
                <w:lang w:val="en-US"/>
              </w:rPr>
              <w:t xml:space="preserve">where possible with the option of </w:t>
            </w:r>
            <w:r w:rsidRPr="008A7B32">
              <w:rPr>
                <w:rFonts w:cstheme="minorHAnsi"/>
                <w:lang w:val="en-US"/>
              </w:rPr>
              <w:t>front</w:t>
            </w:r>
            <w:r>
              <w:rPr>
                <w:rFonts w:cstheme="minorHAnsi"/>
                <w:lang w:val="en-US"/>
              </w:rPr>
              <w:t>-</w:t>
            </w:r>
            <w:r w:rsidRPr="008A7B32">
              <w:rPr>
                <w:rFonts w:cstheme="minorHAnsi"/>
                <w:lang w:val="en-US"/>
              </w:rPr>
              <w:t xml:space="preserve">loading </w:t>
            </w:r>
            <w:r>
              <w:rPr>
                <w:rFonts w:cstheme="minorHAnsi"/>
                <w:lang w:val="en-US"/>
              </w:rPr>
              <w:t xml:space="preserve">the use of </w:t>
            </w:r>
            <w:r w:rsidRPr="008A7B32">
              <w:rPr>
                <w:rFonts w:cstheme="minorHAnsi"/>
                <w:lang w:val="en-US"/>
              </w:rPr>
              <w:t>specialist equipment</w:t>
            </w:r>
            <w:r>
              <w:rPr>
                <w:rFonts w:cstheme="minorHAnsi"/>
                <w:lang w:val="en-US"/>
              </w:rPr>
              <w:t xml:space="preserve"> early in the placement</w:t>
            </w:r>
          </w:p>
        </w:tc>
      </w:tr>
      <w:bookmarkEnd w:id="0"/>
      <w:tr w:rsidR="001C436D" w14:paraId="5D13400D" w14:textId="77777777" w:rsidTr="001046BC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3A1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Practice w</w:t>
            </w:r>
            <w:r w:rsidRPr="008A7B32">
              <w:rPr>
                <w:rFonts w:cstheme="minorHAnsi"/>
                <w:lang w:val="en-US"/>
              </w:rPr>
              <w:t>ritten skills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293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To familiarise the student with </w:t>
            </w:r>
            <w:r w:rsidRPr="008A7B32">
              <w:rPr>
                <w:rFonts w:cstheme="minorHAnsi"/>
                <w:lang w:val="en-US"/>
              </w:rPr>
              <w:t>recording tools and techniques</w:t>
            </w:r>
            <w:r>
              <w:rPr>
                <w:rFonts w:cstheme="minorHAnsi"/>
                <w:lang w:val="en-US"/>
              </w:rPr>
              <w:t xml:space="preserve"> and </w:t>
            </w:r>
            <w:r w:rsidRPr="008A7B32">
              <w:rPr>
                <w:rFonts w:cstheme="minorHAnsi"/>
                <w:lang w:val="en-US"/>
              </w:rPr>
              <w:t xml:space="preserve">protocols for completing documentation, labels, and symbols, </w:t>
            </w:r>
            <w:r>
              <w:rPr>
                <w:rFonts w:cstheme="minorHAnsi"/>
                <w:lang w:val="en-US"/>
              </w:rPr>
              <w:t xml:space="preserve">and to develop </w:t>
            </w:r>
            <w:r w:rsidRPr="008A7B32">
              <w:rPr>
                <w:rFonts w:cstheme="minorHAnsi"/>
                <w:lang w:val="en-US"/>
              </w:rPr>
              <w:t>accuracy in spelling scientific terms</w:t>
            </w:r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5E2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Throughout the pre-placement period through activities which </w:t>
            </w:r>
            <w:r w:rsidRPr="008A7B32">
              <w:rPr>
                <w:rFonts w:cstheme="minorHAnsi"/>
                <w:lang w:val="en-US"/>
              </w:rPr>
              <w:t>require accura</w:t>
            </w:r>
            <w:r>
              <w:rPr>
                <w:rFonts w:cstheme="minorHAnsi"/>
                <w:lang w:val="en-US"/>
              </w:rPr>
              <w:t>te</w:t>
            </w:r>
            <w:r w:rsidRPr="008A7B32">
              <w:rPr>
                <w:rFonts w:cstheme="minorHAnsi"/>
                <w:lang w:val="en-US"/>
              </w:rPr>
              <w:t xml:space="preserve"> writing and competence in recording observations, colours, scales and measurements</w:t>
            </w:r>
            <w:r>
              <w:rPr>
                <w:rFonts w:cstheme="minorHAnsi"/>
                <w:lang w:val="en-US"/>
              </w:rPr>
              <w:t>.</w:t>
            </w:r>
          </w:p>
        </w:tc>
      </w:tr>
      <w:tr w:rsidR="001C436D" w14:paraId="08DF5B52" w14:textId="77777777" w:rsidTr="001046BC">
        <w:tc>
          <w:tcPr>
            <w:tcW w:w="3114" w:type="dxa"/>
            <w:tcBorders>
              <w:top w:val="single" w:sz="4" w:space="0" w:color="auto"/>
            </w:tcBorders>
          </w:tcPr>
          <w:p w14:paraId="468D23CA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Practice m</w:t>
            </w:r>
            <w:r w:rsidRPr="008A7B32">
              <w:rPr>
                <w:rFonts w:cstheme="minorHAnsi"/>
                <w:lang w:val="en-US"/>
              </w:rPr>
              <w:t xml:space="preserve">aths for </w:t>
            </w:r>
            <w:r>
              <w:rPr>
                <w:rFonts w:cstheme="minorHAnsi"/>
                <w:lang w:val="en-US"/>
              </w:rPr>
              <w:t>s</w:t>
            </w:r>
            <w:r w:rsidRPr="008A7B32">
              <w:rPr>
                <w:rFonts w:cstheme="minorHAnsi"/>
                <w:lang w:val="en-US"/>
              </w:rPr>
              <w:t>cience</w:t>
            </w:r>
          </w:p>
          <w:p w14:paraId="2FA2D9E5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58DF40B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develop</w:t>
            </w:r>
            <w:r w:rsidRPr="008A7B32">
              <w:rPr>
                <w:rFonts w:cstheme="minorHAnsi"/>
                <w:lang w:val="en-US"/>
              </w:rPr>
              <w:t xml:space="preserve"> mathematical skills and aptitudes</w:t>
            </w:r>
            <w:r>
              <w:rPr>
                <w:rFonts w:cstheme="minorHAnsi"/>
                <w:lang w:val="en-US"/>
              </w:rPr>
              <w:t>, including the u</w:t>
            </w:r>
            <w:r w:rsidRPr="008A7B32">
              <w:rPr>
                <w:rFonts w:cstheme="minorHAnsi"/>
                <w:lang w:val="en-US"/>
              </w:rPr>
              <w:t>se of specialist mathematical terms (milli-, micro-, nano)</w:t>
            </w:r>
            <w:r>
              <w:rPr>
                <w:rFonts w:cstheme="minorHAnsi"/>
                <w:lang w:val="en-US"/>
              </w:rPr>
              <w:t>, the a</w:t>
            </w:r>
            <w:r w:rsidRPr="008A7B32">
              <w:rPr>
                <w:rFonts w:cstheme="minorHAnsi"/>
                <w:lang w:val="en-US"/>
              </w:rPr>
              <w:t>bility to work with scientific notation</w:t>
            </w:r>
            <w:r>
              <w:rPr>
                <w:rFonts w:cstheme="minorHAnsi"/>
                <w:lang w:val="en-US"/>
              </w:rPr>
              <w:t>,</w:t>
            </w:r>
            <w:r w:rsidRPr="008A7B32">
              <w:rPr>
                <w:rFonts w:cstheme="minorHAnsi"/>
                <w:lang w:val="en-US"/>
              </w:rPr>
              <w:t xml:space="preserve"> and an understanding of relative scale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1D81946" w14:textId="77777777" w:rsidR="001C436D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Pre-</w:t>
            </w:r>
            <w:r w:rsidRPr="008A7B32">
              <w:rPr>
                <w:rFonts w:cstheme="minorHAnsi"/>
                <w:lang w:val="en-US"/>
              </w:rPr>
              <w:t xml:space="preserve">placement </w:t>
            </w:r>
            <w:r>
              <w:rPr>
                <w:rFonts w:cstheme="minorHAnsi"/>
                <w:lang w:val="en-US"/>
              </w:rPr>
              <w:t xml:space="preserve">where possible with the option of </w:t>
            </w:r>
            <w:r w:rsidRPr="008A7B32">
              <w:rPr>
                <w:rFonts w:cstheme="minorHAnsi"/>
                <w:lang w:val="en-US"/>
              </w:rPr>
              <w:t>front</w:t>
            </w:r>
            <w:r>
              <w:rPr>
                <w:rFonts w:cstheme="minorHAnsi"/>
                <w:lang w:val="en-US"/>
              </w:rPr>
              <w:t>-</w:t>
            </w:r>
            <w:r w:rsidRPr="008A7B32">
              <w:rPr>
                <w:rFonts w:cstheme="minorHAnsi"/>
                <w:lang w:val="en-US"/>
              </w:rPr>
              <w:t xml:space="preserve">loading </w:t>
            </w:r>
            <w:r>
              <w:rPr>
                <w:rFonts w:cstheme="minorHAnsi"/>
                <w:lang w:val="en-US"/>
              </w:rPr>
              <w:t xml:space="preserve">to match the type and </w:t>
            </w:r>
            <w:r w:rsidRPr="008A7B32">
              <w:rPr>
                <w:rFonts w:cstheme="minorHAnsi"/>
                <w:lang w:val="en-US"/>
              </w:rPr>
              <w:t xml:space="preserve">number of numerical manipulations </w:t>
            </w:r>
            <w:r>
              <w:rPr>
                <w:rFonts w:cstheme="minorHAnsi"/>
                <w:lang w:val="en-US"/>
              </w:rPr>
              <w:t>required by the employer</w:t>
            </w:r>
          </w:p>
          <w:p w14:paraId="5A4E4CA6" w14:textId="77777777" w:rsidR="001C436D" w:rsidRPr="00032232" w:rsidRDefault="001C436D" w:rsidP="001046BC">
            <w:pPr>
              <w:spacing w:after="160"/>
              <w:rPr>
                <w:rFonts w:cstheme="minorHAnsi"/>
                <w:b/>
                <w:bCs/>
                <w:lang w:val="en-US"/>
              </w:rPr>
            </w:pPr>
          </w:p>
        </w:tc>
      </w:tr>
      <w:bookmarkEnd w:id="1"/>
      <w:tr w:rsidR="001C436D" w14:paraId="4753A08F" w14:textId="77777777" w:rsidTr="001046BC">
        <w:tc>
          <w:tcPr>
            <w:tcW w:w="3114" w:type="dxa"/>
          </w:tcPr>
          <w:p w14:paraId="7BBF0930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 w:rsidRPr="008A7B32">
              <w:rPr>
                <w:rFonts w:cstheme="minorHAnsi"/>
                <w:lang w:val="en-US"/>
              </w:rPr>
              <w:lastRenderedPageBreak/>
              <w:t xml:space="preserve">Scientific </w:t>
            </w:r>
            <w:r>
              <w:rPr>
                <w:rFonts w:cstheme="minorHAnsi"/>
                <w:lang w:val="en-US"/>
              </w:rPr>
              <w:t>d</w:t>
            </w:r>
            <w:r w:rsidRPr="008A7B32">
              <w:rPr>
                <w:rFonts w:cstheme="minorHAnsi"/>
                <w:lang w:val="en-US"/>
              </w:rPr>
              <w:t xml:space="preserve">iscipline </w:t>
            </w:r>
            <w:r>
              <w:rPr>
                <w:rFonts w:cstheme="minorHAnsi"/>
                <w:lang w:val="en-US"/>
              </w:rPr>
              <w:t>t</w:t>
            </w:r>
            <w:r w:rsidRPr="008A7B32">
              <w:rPr>
                <w:rFonts w:cstheme="minorHAnsi"/>
                <w:lang w:val="en-US"/>
              </w:rPr>
              <w:t>raining</w:t>
            </w:r>
          </w:p>
        </w:tc>
        <w:tc>
          <w:tcPr>
            <w:tcW w:w="5103" w:type="dxa"/>
          </w:tcPr>
          <w:p w14:paraId="6AD083AD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make sure that the student knows how to</w:t>
            </w:r>
            <w:r w:rsidRPr="008A7B32">
              <w:rPr>
                <w:rFonts w:cstheme="minorHAnsi"/>
                <w:lang w:val="en-US"/>
              </w:rPr>
              <w:t xml:space="preserve"> use evidence to draw inferences or to reject theories unsupported by evidence</w:t>
            </w:r>
          </w:p>
        </w:tc>
        <w:tc>
          <w:tcPr>
            <w:tcW w:w="6237" w:type="dxa"/>
          </w:tcPr>
          <w:p w14:paraId="5C586CD2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Throughout the </w:t>
            </w:r>
            <w:proofErr w:type="gramStart"/>
            <w:r>
              <w:rPr>
                <w:rFonts w:cstheme="minorHAnsi"/>
                <w:lang w:val="en-US"/>
              </w:rPr>
              <w:t>pre placement</w:t>
            </w:r>
            <w:proofErr w:type="gramEnd"/>
            <w:r>
              <w:rPr>
                <w:rFonts w:cstheme="minorHAnsi"/>
                <w:lang w:val="en-US"/>
              </w:rPr>
              <w:t xml:space="preserve"> period through activities in which students </w:t>
            </w:r>
            <w:r w:rsidRPr="008A7B32">
              <w:rPr>
                <w:rFonts w:cstheme="minorHAnsi"/>
                <w:lang w:val="en-US"/>
              </w:rPr>
              <w:t>analys</w:t>
            </w:r>
            <w:r>
              <w:rPr>
                <w:rFonts w:cstheme="minorHAnsi"/>
                <w:lang w:val="en-US"/>
              </w:rPr>
              <w:t>e</w:t>
            </w:r>
            <w:r w:rsidRPr="008A7B32">
              <w:rPr>
                <w:rFonts w:cstheme="minorHAnsi"/>
                <w:lang w:val="en-US"/>
              </w:rPr>
              <w:t xml:space="preserve"> data, us</w:t>
            </w:r>
            <w:r>
              <w:rPr>
                <w:rFonts w:cstheme="minorHAnsi"/>
                <w:lang w:val="en-US"/>
              </w:rPr>
              <w:t>e</w:t>
            </w:r>
            <w:r w:rsidRPr="008A7B32">
              <w:rPr>
                <w:rFonts w:cstheme="minorHAnsi"/>
                <w:lang w:val="en-US"/>
              </w:rPr>
              <w:t xml:space="preserve"> observations</w:t>
            </w:r>
            <w:r>
              <w:rPr>
                <w:rFonts w:cstheme="minorHAnsi"/>
                <w:lang w:val="en-US"/>
              </w:rPr>
              <w:t>,</w:t>
            </w:r>
            <w:r w:rsidRPr="008A7B32">
              <w:rPr>
                <w:rFonts w:cstheme="minorHAnsi"/>
                <w:lang w:val="en-US"/>
              </w:rPr>
              <w:t xml:space="preserve"> and mak</w:t>
            </w:r>
            <w:r>
              <w:rPr>
                <w:rFonts w:cstheme="minorHAnsi"/>
                <w:lang w:val="en-US"/>
              </w:rPr>
              <w:t>e</w:t>
            </w:r>
            <w:r w:rsidRPr="008A7B32">
              <w:rPr>
                <w:rFonts w:cstheme="minorHAnsi"/>
                <w:lang w:val="en-US"/>
              </w:rPr>
              <w:t xml:space="preserve"> inferences based on sound critical thinking</w:t>
            </w:r>
          </w:p>
        </w:tc>
      </w:tr>
      <w:tr w:rsidR="001C436D" w14:paraId="44EC7348" w14:textId="77777777" w:rsidTr="001046BC">
        <w:tc>
          <w:tcPr>
            <w:tcW w:w="3114" w:type="dxa"/>
          </w:tcPr>
          <w:p w14:paraId="6E4379D8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 w:rsidRPr="008A7B32">
              <w:rPr>
                <w:rFonts w:cstheme="minorHAnsi"/>
                <w:lang w:val="en-US"/>
              </w:rPr>
              <w:t xml:space="preserve">Ability to use </w:t>
            </w:r>
            <w:r>
              <w:rPr>
                <w:rFonts w:cstheme="minorHAnsi"/>
                <w:lang w:val="en-US"/>
              </w:rPr>
              <w:t>software</w:t>
            </w:r>
          </w:p>
        </w:tc>
        <w:tc>
          <w:tcPr>
            <w:tcW w:w="5103" w:type="dxa"/>
          </w:tcPr>
          <w:p w14:paraId="2DA642E3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To make sure the student has at least a basic level of competence in </w:t>
            </w:r>
            <w:r w:rsidRPr="008A7B32">
              <w:rPr>
                <w:rFonts w:cstheme="minorHAnsi"/>
                <w:lang w:val="en-US"/>
              </w:rPr>
              <w:t>software packages</w:t>
            </w:r>
            <w:r>
              <w:rPr>
                <w:rFonts w:cstheme="minorHAnsi"/>
                <w:lang w:val="en-US"/>
              </w:rPr>
              <w:t xml:space="preserve"> used by the employer, such as </w:t>
            </w:r>
            <w:proofErr w:type="spellStart"/>
            <w:r w:rsidRPr="008A7B32">
              <w:rPr>
                <w:rFonts w:cstheme="minorHAnsi"/>
                <w:lang w:val="en-US"/>
              </w:rPr>
              <w:t>Matlab</w:t>
            </w:r>
            <w:proofErr w:type="spellEnd"/>
            <w:r>
              <w:rPr>
                <w:rFonts w:cstheme="minorHAnsi"/>
                <w:lang w:val="en-US"/>
              </w:rPr>
              <w:t>, E</w:t>
            </w:r>
            <w:r w:rsidRPr="008A7B32">
              <w:rPr>
                <w:rFonts w:cstheme="minorHAnsi"/>
                <w:lang w:val="en-US"/>
              </w:rPr>
              <w:t>xcel</w:t>
            </w:r>
            <w:r>
              <w:rPr>
                <w:rFonts w:cstheme="minorHAnsi"/>
                <w:lang w:val="en-US"/>
              </w:rPr>
              <w:t xml:space="preserve">, </w:t>
            </w:r>
            <w:r w:rsidRPr="008A7B32">
              <w:rPr>
                <w:rFonts w:cstheme="minorHAnsi"/>
                <w:lang w:val="en-US"/>
              </w:rPr>
              <w:t>Word</w:t>
            </w:r>
            <w:r>
              <w:rPr>
                <w:rFonts w:cstheme="minorHAnsi"/>
                <w:lang w:val="en-US"/>
              </w:rPr>
              <w:t xml:space="preserve">. </w:t>
            </w:r>
          </w:p>
        </w:tc>
        <w:tc>
          <w:tcPr>
            <w:tcW w:w="6237" w:type="dxa"/>
          </w:tcPr>
          <w:p w14:paraId="5E60DC33" w14:textId="77777777" w:rsidR="001C436D" w:rsidRPr="008A7B32" w:rsidRDefault="001C436D" w:rsidP="001046BC">
            <w:pPr>
              <w:spacing w:after="1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Throughout the pre-placement period through </w:t>
            </w:r>
            <w:r w:rsidRPr="008A7B32">
              <w:rPr>
                <w:rFonts w:cstheme="minorHAnsi"/>
                <w:lang w:val="en-US"/>
              </w:rPr>
              <w:t>access to practice sessions, data sets.</w:t>
            </w:r>
          </w:p>
        </w:tc>
      </w:tr>
    </w:tbl>
    <w:p w14:paraId="3E0F7A6E" w14:textId="77777777" w:rsidR="001C436D" w:rsidRPr="008A7B32" w:rsidRDefault="001C436D" w:rsidP="001C436D">
      <w:pPr>
        <w:rPr>
          <w:rFonts w:ascii="Open Sans" w:hAnsi="Open Sans" w:cs="Open Sans"/>
          <w:lang w:val="en-US"/>
        </w:rPr>
      </w:pPr>
    </w:p>
    <w:p w14:paraId="68C8D1FD" w14:textId="77777777" w:rsidR="00BA5345" w:rsidRDefault="00BA5345"/>
    <w:sectPr w:rsidR="00BA5345" w:rsidSect="001C43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6D"/>
    <w:rsid w:val="001C436D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74DC"/>
  <w15:chartTrackingRefBased/>
  <w15:docId w15:val="{12942EF1-4A8D-4A69-BC5A-C7D814B9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6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36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2022-08-26T14:28:00Z</dcterms:created>
  <dcterms:modified xsi:type="dcterms:W3CDTF">2022-08-26T14:29:00Z</dcterms:modified>
</cp:coreProperties>
</file>