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032B8" w14:textId="77777777" w:rsidR="00FC19DD" w:rsidRPr="00FC19DD" w:rsidRDefault="00FC19DD" w:rsidP="00FC19DD">
      <w:pPr>
        <w:numPr>
          <w:ilvl w:val="0"/>
          <w:numId w:val="5"/>
        </w:numPr>
        <w:spacing w:before="120" w:line="192" w:lineRule="auto"/>
        <w:outlineLvl w:val="1"/>
        <w:rPr>
          <w:rFonts w:ascii="Poppins" w:hAnsi="Poppins" w:cs="Poppins"/>
          <w:b/>
          <w:bCs/>
          <w:iCs/>
          <w:caps/>
          <w:noProof/>
          <w:color w:val="262626" w:themeColor="text1" w:themeTint="D9"/>
          <w:sz w:val="28"/>
          <w:szCs w:val="32"/>
          <w:lang w:val="en-US" w:eastAsia="en-GB"/>
        </w:rPr>
      </w:pPr>
      <w:r w:rsidRPr="00FC19DD">
        <w:rPr>
          <w:rFonts w:ascii="Poppins" w:hAnsi="Poppins" w:cs="Poppins"/>
          <w:b/>
          <w:bCs/>
          <w:iCs/>
          <w:caps/>
          <w:noProof/>
          <w:color w:val="262626" w:themeColor="text1" w:themeTint="D9"/>
          <w:sz w:val="28"/>
          <w:szCs w:val="32"/>
          <w:lang w:eastAsia="en-GB"/>
        </w:rPr>
        <w:t>how employers can contribute to industry placements</w:t>
      </w:r>
    </w:p>
    <w:tbl>
      <w:tblPr>
        <w:tblStyle w:val="TableGrid"/>
        <w:tblW w:w="9476" w:type="dxa"/>
        <w:tblInd w:w="-5" w:type="dxa"/>
        <w:tblLook w:val="04A0" w:firstRow="1" w:lastRow="0" w:firstColumn="1" w:lastColumn="0" w:noHBand="0" w:noVBand="1"/>
      </w:tblPr>
      <w:tblGrid>
        <w:gridCol w:w="5801"/>
        <w:gridCol w:w="3675"/>
      </w:tblGrid>
      <w:tr w:rsidR="00FC19DD" w:rsidRPr="00FC19DD" w14:paraId="02122689" w14:textId="77777777" w:rsidTr="005425AD">
        <w:trPr>
          <w:trHeight w:val="737"/>
          <w:tblHeader/>
        </w:trPr>
        <w:tc>
          <w:tcPr>
            <w:tcW w:w="5801" w:type="dxa"/>
            <w:shd w:val="clear" w:color="auto" w:fill="765AB0"/>
            <w:vAlign w:val="center"/>
          </w:tcPr>
          <w:p w14:paraId="3A469CAD" w14:textId="77777777" w:rsidR="00FC19DD" w:rsidRPr="00FC19DD" w:rsidRDefault="00FC19DD" w:rsidP="00FC19DD">
            <w:pPr>
              <w:outlineLvl w:val="2"/>
              <w:rPr>
                <w:rFonts w:ascii="Sora" w:hAnsi="Sora" w:cs="Sora"/>
                <w:b/>
                <w:bCs/>
                <w:iCs/>
                <w:caps/>
                <w:noProof/>
                <w:color w:val="FFFFFF" w:themeColor="background1"/>
                <w:lang w:val="en-US" w:eastAsia="en-GB"/>
              </w:rPr>
            </w:pPr>
            <w:r w:rsidRPr="00FC19DD">
              <w:rPr>
                <w:rFonts w:ascii="Sora" w:hAnsi="Sora" w:cs="Sora"/>
                <w:b/>
                <w:bCs/>
                <w:iCs/>
                <w:noProof/>
                <w:color w:val="FFFFFF" w:themeColor="background1"/>
                <w:lang w:val="en-US" w:eastAsia="en-GB"/>
              </w:rPr>
              <w:t>What employers can do</w:t>
            </w:r>
          </w:p>
        </w:tc>
        <w:tc>
          <w:tcPr>
            <w:tcW w:w="3675" w:type="dxa"/>
            <w:shd w:val="clear" w:color="auto" w:fill="765AB0"/>
            <w:vAlign w:val="center"/>
          </w:tcPr>
          <w:p w14:paraId="41F57EE6" w14:textId="77777777" w:rsidR="00FC19DD" w:rsidRPr="00FC19DD" w:rsidRDefault="00FC19DD" w:rsidP="00FC19DD">
            <w:pPr>
              <w:outlineLvl w:val="2"/>
              <w:rPr>
                <w:rFonts w:ascii="Sora" w:hAnsi="Sora" w:cs="Sora"/>
                <w:b/>
                <w:bCs/>
                <w:iCs/>
                <w:caps/>
                <w:noProof/>
                <w:color w:val="FFFFFF" w:themeColor="background1"/>
                <w:lang w:val="en-US" w:eastAsia="en-GB"/>
              </w:rPr>
            </w:pPr>
            <w:r w:rsidRPr="00FC19DD">
              <w:rPr>
                <w:rFonts w:ascii="Sora" w:hAnsi="Sora" w:cs="Sora"/>
                <w:b/>
                <w:bCs/>
                <w:iCs/>
                <w:noProof/>
                <w:color w:val="FFFFFF" w:themeColor="background1"/>
                <w:lang w:val="en-US" w:eastAsia="en-GB"/>
              </w:rPr>
              <w:t>Notes</w:t>
            </w:r>
          </w:p>
        </w:tc>
      </w:tr>
      <w:tr w:rsidR="00FC19DD" w:rsidRPr="00FC19DD" w14:paraId="2144F889" w14:textId="77777777" w:rsidTr="005425AD">
        <w:trPr>
          <w:trHeight w:val="1587"/>
        </w:trPr>
        <w:tc>
          <w:tcPr>
            <w:tcW w:w="5801" w:type="dxa"/>
          </w:tcPr>
          <w:p w14:paraId="0D5CF53E" w14:textId="77777777" w:rsidR="00FC19DD" w:rsidRPr="00FC19DD" w:rsidRDefault="00FC19DD" w:rsidP="00FC19DD">
            <w:pPr>
              <w:numPr>
                <w:ilvl w:val="0"/>
                <w:numId w:val="1"/>
              </w:numPr>
              <w:spacing w:before="240" w:after="240"/>
              <w:rPr>
                <w:rFonts w:ascii="Sora" w:hAnsi="Sora" w:cs="Sora"/>
                <w:noProof/>
                <w:color w:val="262626" w:themeColor="text1" w:themeTint="D9"/>
                <w:lang w:val="en-US" w:eastAsia="en-GB"/>
              </w:rPr>
            </w:pPr>
            <w:r w:rsidRPr="00FC19DD">
              <w:rPr>
                <w:rFonts w:ascii="Sora" w:hAnsi="Sora" w:cs="Sora"/>
                <w:noProof/>
                <w:color w:val="262626" w:themeColor="text1" w:themeTint="D9"/>
                <w:lang w:val="en-US" w:eastAsia="en-GB"/>
              </w:rPr>
              <w:t>Offer industry placements to students, either on their own or in combination with one other employer.</w:t>
            </w:r>
          </w:p>
        </w:tc>
        <w:tc>
          <w:tcPr>
            <w:tcW w:w="3675" w:type="dxa"/>
          </w:tcPr>
          <w:p w14:paraId="42390A17" w14:textId="77777777" w:rsidR="00FC19DD" w:rsidRPr="00FC19DD" w:rsidRDefault="00FC19DD" w:rsidP="00FC19DD">
            <w:pPr>
              <w:spacing w:before="240" w:after="240"/>
              <w:ind w:left="3"/>
              <w:rPr>
                <w:rFonts w:ascii="Sora" w:hAnsi="Sora" w:cs="Sora"/>
                <w:noProof/>
                <w:color w:val="262626" w:themeColor="text1" w:themeTint="D9"/>
                <w:lang w:val="en-US" w:eastAsia="en-GB"/>
              </w:rPr>
            </w:pPr>
          </w:p>
        </w:tc>
      </w:tr>
      <w:tr w:rsidR="00FC19DD" w:rsidRPr="00FC19DD" w14:paraId="48F62EA2" w14:textId="77777777" w:rsidTr="005425AD">
        <w:trPr>
          <w:trHeight w:val="1587"/>
        </w:trPr>
        <w:tc>
          <w:tcPr>
            <w:tcW w:w="5801" w:type="dxa"/>
          </w:tcPr>
          <w:p w14:paraId="6DFF73FD" w14:textId="77777777" w:rsidR="00FC19DD" w:rsidRPr="00FC19DD" w:rsidRDefault="00FC19DD" w:rsidP="00FC19DD">
            <w:pPr>
              <w:numPr>
                <w:ilvl w:val="0"/>
                <w:numId w:val="1"/>
              </w:numPr>
              <w:spacing w:before="240" w:after="240"/>
              <w:rPr>
                <w:rFonts w:ascii="Sora" w:hAnsi="Sora" w:cs="Sora"/>
                <w:noProof/>
                <w:color w:val="262626" w:themeColor="text1" w:themeTint="D9"/>
                <w:lang w:val="en-US" w:eastAsia="en-GB"/>
              </w:rPr>
            </w:pPr>
            <w:r w:rsidRPr="00FC19DD">
              <w:rPr>
                <w:rFonts w:ascii="Sora" w:hAnsi="Sora" w:cs="Sora"/>
                <w:noProof/>
                <w:color w:val="262626" w:themeColor="text1" w:themeTint="D9"/>
                <w:lang w:val="en-US" w:eastAsia="en-GB"/>
              </w:rPr>
              <w:t xml:space="preserve">Offer work tasters to help students decide whether to apply for an industry placement with the employer. </w:t>
            </w:r>
          </w:p>
        </w:tc>
        <w:tc>
          <w:tcPr>
            <w:tcW w:w="3675" w:type="dxa"/>
          </w:tcPr>
          <w:p w14:paraId="7C11910A" w14:textId="77777777" w:rsidR="00FC19DD" w:rsidRPr="00FC19DD" w:rsidRDefault="00FC19DD" w:rsidP="00FC19DD">
            <w:pPr>
              <w:spacing w:before="240" w:after="240"/>
              <w:ind w:left="3"/>
              <w:rPr>
                <w:rFonts w:ascii="Sora" w:hAnsi="Sora" w:cs="Sora"/>
                <w:noProof/>
                <w:color w:val="262626" w:themeColor="text1" w:themeTint="D9"/>
                <w:lang w:val="en-US" w:eastAsia="en-GB"/>
              </w:rPr>
            </w:pPr>
          </w:p>
        </w:tc>
      </w:tr>
      <w:tr w:rsidR="00FC19DD" w:rsidRPr="00FC19DD" w14:paraId="4FD33A89" w14:textId="77777777" w:rsidTr="005425AD">
        <w:trPr>
          <w:trHeight w:val="1587"/>
        </w:trPr>
        <w:tc>
          <w:tcPr>
            <w:tcW w:w="5801" w:type="dxa"/>
          </w:tcPr>
          <w:p w14:paraId="2767DC63" w14:textId="77777777" w:rsidR="00FC19DD" w:rsidRPr="00FC19DD" w:rsidRDefault="00FC19DD" w:rsidP="00FC19DD">
            <w:pPr>
              <w:numPr>
                <w:ilvl w:val="0"/>
                <w:numId w:val="1"/>
              </w:numPr>
              <w:spacing w:before="240" w:after="240"/>
              <w:rPr>
                <w:rFonts w:ascii="Sora" w:hAnsi="Sora" w:cs="Sora"/>
                <w:noProof/>
                <w:color w:val="262626" w:themeColor="text1" w:themeTint="D9"/>
                <w:lang w:val="en-US" w:eastAsia="en-GB"/>
              </w:rPr>
            </w:pPr>
            <w:r w:rsidRPr="00FC19DD">
              <w:rPr>
                <w:rFonts w:ascii="Sora" w:hAnsi="Sora" w:cs="Sora"/>
                <w:noProof/>
                <w:color w:val="262626" w:themeColor="text1" w:themeTint="D9"/>
                <w:lang w:val="en-US" w:eastAsia="en-GB"/>
              </w:rPr>
              <w:t xml:space="preserve">Plan industry placements with you to provide meaningful work tasks and projects for students which develop their knowledge, skills and behaviours through practical application. </w:t>
            </w:r>
          </w:p>
        </w:tc>
        <w:tc>
          <w:tcPr>
            <w:tcW w:w="3675" w:type="dxa"/>
          </w:tcPr>
          <w:p w14:paraId="567E8C25" w14:textId="77777777" w:rsidR="00FC19DD" w:rsidRPr="00FC19DD" w:rsidRDefault="00FC19DD" w:rsidP="00FC19DD">
            <w:pPr>
              <w:spacing w:before="240" w:after="240"/>
              <w:ind w:left="3"/>
              <w:rPr>
                <w:rFonts w:ascii="Sora" w:hAnsi="Sora" w:cs="Sora"/>
                <w:noProof/>
                <w:color w:val="262626" w:themeColor="text1" w:themeTint="D9"/>
                <w:lang w:val="en-US" w:eastAsia="en-GB"/>
              </w:rPr>
            </w:pPr>
          </w:p>
        </w:tc>
      </w:tr>
      <w:tr w:rsidR="00FC19DD" w:rsidRPr="00FC19DD" w14:paraId="75D18FD4" w14:textId="77777777" w:rsidTr="005425AD">
        <w:trPr>
          <w:trHeight w:val="1587"/>
        </w:trPr>
        <w:tc>
          <w:tcPr>
            <w:tcW w:w="5801" w:type="dxa"/>
          </w:tcPr>
          <w:p w14:paraId="75798477" w14:textId="17FB2D1A" w:rsidR="00FC19DD" w:rsidRPr="00FC19DD" w:rsidRDefault="00FC19DD" w:rsidP="00FC19DD">
            <w:pPr>
              <w:pStyle w:val="ListParagraph"/>
              <w:numPr>
                <w:ilvl w:val="0"/>
                <w:numId w:val="1"/>
              </w:numPr>
              <w:spacing w:before="240" w:after="240"/>
              <w:rPr>
                <w:rFonts w:ascii="Sora" w:hAnsi="Sora" w:cs="Sora"/>
                <w:noProof/>
                <w:color w:val="262626" w:themeColor="text1" w:themeTint="D9"/>
                <w:lang w:val="en-US" w:eastAsia="en-GB"/>
              </w:rPr>
            </w:pPr>
            <w:r w:rsidRPr="00FC19DD">
              <w:rPr>
                <w:rFonts w:ascii="Sora" w:hAnsi="Sora" w:cs="Sora"/>
                <w:noProof/>
                <w:color w:val="262626" w:themeColor="text1" w:themeTint="D9"/>
                <w:lang w:val="en-US" w:eastAsia="en-GB"/>
              </w:rPr>
              <w:t>Select students for industry placements to give the best chance that both the student and the employer will benefit from the placement.</w:t>
            </w:r>
          </w:p>
        </w:tc>
        <w:tc>
          <w:tcPr>
            <w:tcW w:w="3675" w:type="dxa"/>
          </w:tcPr>
          <w:p w14:paraId="51DBBC3F" w14:textId="77777777" w:rsidR="00FC19DD" w:rsidRPr="00FC19DD" w:rsidRDefault="00FC19DD" w:rsidP="00FC19DD">
            <w:pPr>
              <w:spacing w:before="240" w:after="240"/>
              <w:ind w:left="3"/>
              <w:rPr>
                <w:rFonts w:ascii="Sora" w:hAnsi="Sora" w:cs="Sora"/>
                <w:noProof/>
                <w:color w:val="262626" w:themeColor="text1" w:themeTint="D9"/>
                <w:lang w:val="en-US" w:eastAsia="en-GB"/>
              </w:rPr>
            </w:pPr>
          </w:p>
        </w:tc>
      </w:tr>
      <w:tr w:rsidR="00FC19DD" w:rsidRPr="00FC19DD" w14:paraId="24ED6A52" w14:textId="77777777" w:rsidTr="005425AD">
        <w:trPr>
          <w:trHeight w:val="1587"/>
        </w:trPr>
        <w:tc>
          <w:tcPr>
            <w:tcW w:w="5801" w:type="dxa"/>
          </w:tcPr>
          <w:p w14:paraId="0387BB25" w14:textId="029E7A7C" w:rsidR="00FC19DD" w:rsidRPr="00FC19DD" w:rsidRDefault="00FC19DD" w:rsidP="00FC19DD">
            <w:pPr>
              <w:pStyle w:val="ListParagraph"/>
              <w:numPr>
                <w:ilvl w:val="0"/>
                <w:numId w:val="1"/>
              </w:numPr>
              <w:spacing w:before="240" w:after="240"/>
              <w:rPr>
                <w:rFonts w:ascii="Sora" w:hAnsi="Sora" w:cs="Sora"/>
                <w:noProof/>
                <w:color w:val="262626" w:themeColor="text1" w:themeTint="D9"/>
                <w:lang w:val="en-US" w:eastAsia="en-GB"/>
              </w:rPr>
            </w:pPr>
            <w:r w:rsidRPr="00FC19DD">
              <w:rPr>
                <w:rFonts w:ascii="Sora" w:hAnsi="Sora" w:cs="Sora"/>
                <w:noProof/>
                <w:color w:val="262626" w:themeColor="text1" w:themeTint="D9"/>
                <w:lang w:val="en-US" w:eastAsia="en-GB"/>
              </w:rPr>
              <w:t>Train and prepare staff to support and mentor students effectively throughout their time on industry placements.</w:t>
            </w:r>
          </w:p>
        </w:tc>
        <w:tc>
          <w:tcPr>
            <w:tcW w:w="3675" w:type="dxa"/>
          </w:tcPr>
          <w:p w14:paraId="09232920" w14:textId="77777777" w:rsidR="00FC19DD" w:rsidRPr="00FC19DD" w:rsidRDefault="00FC19DD" w:rsidP="00FC19DD">
            <w:pPr>
              <w:spacing w:before="240" w:after="240"/>
              <w:ind w:left="3"/>
              <w:rPr>
                <w:rFonts w:ascii="Sora" w:hAnsi="Sora" w:cs="Sora"/>
                <w:noProof/>
                <w:color w:val="262626" w:themeColor="text1" w:themeTint="D9"/>
                <w:lang w:val="en-US" w:eastAsia="en-GB"/>
              </w:rPr>
            </w:pPr>
          </w:p>
        </w:tc>
      </w:tr>
      <w:tr w:rsidR="00FC19DD" w:rsidRPr="00FC19DD" w14:paraId="503080F0" w14:textId="77777777" w:rsidTr="005425AD">
        <w:trPr>
          <w:trHeight w:val="1587"/>
        </w:trPr>
        <w:tc>
          <w:tcPr>
            <w:tcW w:w="5801" w:type="dxa"/>
            <w:vAlign w:val="center"/>
          </w:tcPr>
          <w:p w14:paraId="4314A062" w14:textId="77777777" w:rsidR="00FC19DD" w:rsidRPr="00FC19DD" w:rsidRDefault="00FC19DD" w:rsidP="00FC19DD">
            <w:pPr>
              <w:numPr>
                <w:ilvl w:val="0"/>
                <w:numId w:val="1"/>
              </w:numPr>
              <w:spacing w:before="240" w:after="240"/>
              <w:contextualSpacing/>
              <w:rPr>
                <w:rFonts w:ascii="Sora" w:hAnsi="Sora" w:cs="Sora"/>
                <w:noProof/>
                <w:color w:val="262626" w:themeColor="text1" w:themeTint="D9"/>
                <w:lang w:val="en-US" w:eastAsia="en-GB"/>
              </w:rPr>
            </w:pPr>
            <w:r w:rsidRPr="00FC19DD">
              <w:rPr>
                <w:rFonts w:ascii="Sora" w:hAnsi="Sora" w:cs="Sora"/>
                <w:noProof/>
                <w:color w:val="262626" w:themeColor="text1" w:themeTint="D9"/>
                <w:lang w:val="en-US" w:eastAsia="en-GB"/>
              </w:rPr>
              <w:t>Welcome students into the workplace and help them to become part of the team, giving them opportunities to develop valuable employability skills including teamwork.</w:t>
            </w:r>
          </w:p>
        </w:tc>
        <w:tc>
          <w:tcPr>
            <w:tcW w:w="3675" w:type="dxa"/>
            <w:vAlign w:val="center"/>
          </w:tcPr>
          <w:p w14:paraId="0959AC37" w14:textId="77777777" w:rsidR="00FC19DD" w:rsidRPr="00FC19DD" w:rsidRDefault="00FC19DD" w:rsidP="00FC19DD">
            <w:pPr>
              <w:spacing w:before="240" w:after="240"/>
              <w:ind w:left="3"/>
              <w:rPr>
                <w:rFonts w:ascii="Sora" w:hAnsi="Sora" w:cs="Sora"/>
                <w:noProof/>
                <w:color w:val="262626" w:themeColor="text1" w:themeTint="D9"/>
                <w:lang w:eastAsia="en-GB"/>
              </w:rPr>
            </w:pPr>
          </w:p>
        </w:tc>
      </w:tr>
      <w:tr w:rsidR="00FC19DD" w:rsidRPr="00FC19DD" w14:paraId="49933BAE" w14:textId="77777777" w:rsidTr="005425AD">
        <w:trPr>
          <w:trHeight w:val="1587"/>
        </w:trPr>
        <w:tc>
          <w:tcPr>
            <w:tcW w:w="5801" w:type="dxa"/>
            <w:vAlign w:val="center"/>
          </w:tcPr>
          <w:p w14:paraId="6FCF518C" w14:textId="77777777" w:rsidR="00FC19DD" w:rsidRPr="00FC19DD" w:rsidRDefault="00FC19DD" w:rsidP="00FC19DD">
            <w:pPr>
              <w:numPr>
                <w:ilvl w:val="0"/>
                <w:numId w:val="1"/>
              </w:numPr>
              <w:spacing w:before="240" w:after="240"/>
              <w:contextualSpacing/>
              <w:rPr>
                <w:rFonts w:ascii="Sora" w:hAnsi="Sora" w:cs="Sora"/>
                <w:noProof/>
                <w:color w:val="262626" w:themeColor="text1" w:themeTint="D9"/>
                <w:lang w:val="en-US" w:eastAsia="en-GB"/>
              </w:rPr>
            </w:pPr>
            <w:r w:rsidRPr="00FC19DD">
              <w:rPr>
                <w:rFonts w:ascii="Sora" w:hAnsi="Sora" w:cs="Sora"/>
                <w:noProof/>
                <w:color w:val="262626" w:themeColor="text1" w:themeTint="D9"/>
                <w:lang w:val="en-US" w:eastAsia="en-GB"/>
              </w:rPr>
              <w:t>Give frequent, regular feedback to students on their performance at work, including the use of technical knowledge and skills and the application of appropriate behaviours.</w:t>
            </w:r>
          </w:p>
        </w:tc>
        <w:tc>
          <w:tcPr>
            <w:tcW w:w="3675" w:type="dxa"/>
            <w:vAlign w:val="center"/>
          </w:tcPr>
          <w:p w14:paraId="7F786A4E" w14:textId="77777777" w:rsidR="00FC19DD" w:rsidRPr="00FC19DD" w:rsidRDefault="00FC19DD" w:rsidP="00FC19DD">
            <w:pPr>
              <w:spacing w:before="240" w:after="240"/>
              <w:ind w:left="3"/>
              <w:rPr>
                <w:rFonts w:ascii="Sora" w:hAnsi="Sora" w:cs="Sora"/>
                <w:noProof/>
                <w:color w:val="262626" w:themeColor="text1" w:themeTint="D9"/>
                <w:lang w:eastAsia="en-GB"/>
              </w:rPr>
            </w:pPr>
          </w:p>
        </w:tc>
      </w:tr>
      <w:tr w:rsidR="00FC19DD" w:rsidRPr="00FC19DD" w14:paraId="65EBAAEC" w14:textId="77777777" w:rsidTr="005425AD">
        <w:trPr>
          <w:trHeight w:val="1587"/>
        </w:trPr>
        <w:tc>
          <w:tcPr>
            <w:tcW w:w="5801" w:type="dxa"/>
            <w:vAlign w:val="center"/>
          </w:tcPr>
          <w:p w14:paraId="30655A1A" w14:textId="77777777" w:rsidR="00FC19DD" w:rsidRPr="00FC19DD" w:rsidRDefault="00FC19DD" w:rsidP="00FC19DD">
            <w:pPr>
              <w:numPr>
                <w:ilvl w:val="0"/>
                <w:numId w:val="1"/>
              </w:numPr>
              <w:spacing w:before="240" w:after="240"/>
              <w:contextualSpacing/>
              <w:rPr>
                <w:rFonts w:ascii="Sora" w:hAnsi="Sora" w:cs="Sora"/>
                <w:noProof/>
                <w:color w:val="262626" w:themeColor="text1" w:themeTint="D9"/>
                <w:lang w:val="en-US" w:eastAsia="en-GB"/>
              </w:rPr>
            </w:pPr>
            <w:r w:rsidRPr="00FC19DD">
              <w:rPr>
                <w:rFonts w:ascii="Sora" w:hAnsi="Sora" w:cs="Sora"/>
                <w:noProof/>
                <w:color w:val="262626" w:themeColor="text1" w:themeTint="D9"/>
                <w:lang w:val="en-US" w:eastAsia="en-GB"/>
              </w:rPr>
              <w:lastRenderedPageBreak/>
              <w:t>Take part with you in regular reviews of students’ progress and a final review at the end of the placement.</w:t>
            </w:r>
          </w:p>
        </w:tc>
        <w:tc>
          <w:tcPr>
            <w:tcW w:w="3675" w:type="dxa"/>
            <w:vAlign w:val="center"/>
          </w:tcPr>
          <w:p w14:paraId="3B3E73C2" w14:textId="77777777" w:rsidR="00FC19DD" w:rsidRPr="00FC19DD" w:rsidRDefault="00FC19DD" w:rsidP="00FC19DD">
            <w:pPr>
              <w:spacing w:before="240" w:after="240"/>
              <w:ind w:left="3"/>
              <w:rPr>
                <w:rFonts w:ascii="Sora" w:hAnsi="Sora" w:cs="Sora"/>
                <w:noProof/>
                <w:color w:val="262626" w:themeColor="text1" w:themeTint="D9"/>
                <w:lang w:eastAsia="en-GB"/>
              </w:rPr>
            </w:pPr>
          </w:p>
        </w:tc>
      </w:tr>
      <w:tr w:rsidR="00FC19DD" w:rsidRPr="00FC19DD" w14:paraId="1E3EED7A" w14:textId="77777777" w:rsidTr="005425AD">
        <w:trPr>
          <w:trHeight w:val="1587"/>
        </w:trPr>
        <w:tc>
          <w:tcPr>
            <w:tcW w:w="5801" w:type="dxa"/>
            <w:vAlign w:val="center"/>
          </w:tcPr>
          <w:p w14:paraId="1D090A96" w14:textId="77777777" w:rsidR="00FC19DD" w:rsidRPr="00FC19DD" w:rsidRDefault="00FC19DD" w:rsidP="00FC19DD">
            <w:pPr>
              <w:numPr>
                <w:ilvl w:val="0"/>
                <w:numId w:val="1"/>
              </w:numPr>
              <w:spacing w:before="240" w:after="240"/>
              <w:contextualSpacing/>
              <w:rPr>
                <w:rFonts w:ascii="Sora" w:hAnsi="Sora" w:cs="Sora"/>
                <w:noProof/>
                <w:color w:val="262626" w:themeColor="text1" w:themeTint="D9"/>
                <w:lang w:eastAsia="en-GB"/>
              </w:rPr>
            </w:pPr>
            <w:r w:rsidRPr="00FC19DD">
              <w:rPr>
                <w:rFonts w:ascii="Sora" w:hAnsi="Sora" w:cs="Sora"/>
                <w:noProof/>
                <w:color w:val="262626" w:themeColor="text1" w:themeTint="D9"/>
                <w:lang w:eastAsia="en-GB"/>
              </w:rPr>
              <w:t xml:space="preserve">Write </w:t>
            </w:r>
            <w:r w:rsidRPr="00FC19DD">
              <w:rPr>
                <w:rFonts w:ascii="Sora" w:hAnsi="Sora" w:cs="Sora"/>
                <w:noProof/>
                <w:color w:val="262626" w:themeColor="text1" w:themeTint="D9"/>
                <w:lang w:val="en-US" w:eastAsia="en-GB"/>
              </w:rPr>
              <w:t>students</w:t>
            </w:r>
            <w:r w:rsidRPr="00FC19DD">
              <w:rPr>
                <w:rFonts w:ascii="Sora" w:hAnsi="Sora" w:cs="Sora"/>
                <w:noProof/>
                <w:color w:val="262626" w:themeColor="text1" w:themeTint="D9"/>
                <w:lang w:eastAsia="en-GB"/>
              </w:rPr>
              <w:t xml:space="preserve"> a refence highlighting key aspects of their performance and achievements on the placement.</w:t>
            </w:r>
          </w:p>
        </w:tc>
        <w:tc>
          <w:tcPr>
            <w:tcW w:w="3675" w:type="dxa"/>
            <w:vAlign w:val="center"/>
          </w:tcPr>
          <w:p w14:paraId="7EE7D0B7" w14:textId="77777777" w:rsidR="00FC19DD" w:rsidRPr="00FC19DD" w:rsidRDefault="00FC19DD" w:rsidP="00FC19DD">
            <w:pPr>
              <w:spacing w:before="240" w:after="240"/>
              <w:ind w:left="3"/>
              <w:rPr>
                <w:rFonts w:ascii="Sora" w:hAnsi="Sora" w:cs="Sora"/>
                <w:noProof/>
                <w:color w:val="262626" w:themeColor="text1" w:themeTint="D9"/>
                <w:lang w:eastAsia="en-GB"/>
              </w:rPr>
            </w:pPr>
          </w:p>
        </w:tc>
      </w:tr>
      <w:tr w:rsidR="00FC19DD" w:rsidRPr="00FC19DD" w14:paraId="7D8A4A01" w14:textId="77777777" w:rsidTr="005425AD">
        <w:trPr>
          <w:trHeight w:val="1587"/>
        </w:trPr>
        <w:tc>
          <w:tcPr>
            <w:tcW w:w="5801" w:type="dxa"/>
            <w:vAlign w:val="center"/>
          </w:tcPr>
          <w:p w14:paraId="6F29117F" w14:textId="77777777" w:rsidR="00FC19DD" w:rsidRPr="00FC19DD" w:rsidRDefault="00FC19DD" w:rsidP="00FC19DD">
            <w:pPr>
              <w:numPr>
                <w:ilvl w:val="0"/>
                <w:numId w:val="1"/>
              </w:numPr>
              <w:spacing w:before="240" w:after="240"/>
              <w:rPr>
                <w:rFonts w:ascii="Sora" w:hAnsi="Sora" w:cs="Sora"/>
                <w:noProof/>
                <w:color w:val="262626" w:themeColor="text1" w:themeTint="D9"/>
                <w:lang w:val="en-US" w:eastAsia="en-GB"/>
              </w:rPr>
            </w:pPr>
            <w:r w:rsidRPr="00FC19DD">
              <w:rPr>
                <w:rFonts w:ascii="Sora" w:hAnsi="Sora" w:cs="Sora"/>
                <w:noProof/>
                <w:color w:val="262626" w:themeColor="text1" w:themeTint="D9"/>
                <w:lang w:eastAsia="en-GB"/>
              </w:rPr>
              <w:t>Consider whether to offer students a job when they complete their T Level qualification.</w:t>
            </w:r>
          </w:p>
        </w:tc>
        <w:tc>
          <w:tcPr>
            <w:tcW w:w="3675" w:type="dxa"/>
            <w:vAlign w:val="center"/>
          </w:tcPr>
          <w:p w14:paraId="15912D79" w14:textId="77777777" w:rsidR="00FC19DD" w:rsidRPr="00FC19DD" w:rsidRDefault="00FC19DD" w:rsidP="00FC19DD">
            <w:pPr>
              <w:spacing w:before="240" w:after="240"/>
              <w:ind w:left="3"/>
              <w:rPr>
                <w:rFonts w:ascii="Sora" w:hAnsi="Sora" w:cs="Sora"/>
                <w:noProof/>
                <w:color w:val="262626" w:themeColor="text1" w:themeTint="D9"/>
                <w:lang w:eastAsia="en-GB"/>
              </w:rPr>
            </w:pPr>
          </w:p>
        </w:tc>
      </w:tr>
    </w:tbl>
    <w:p w14:paraId="3D45FA68" w14:textId="77777777" w:rsidR="00FC19DD" w:rsidRPr="00FC19DD" w:rsidRDefault="00FC19DD" w:rsidP="00FC19DD">
      <w:pPr>
        <w:spacing w:before="120"/>
        <w:rPr>
          <w:rFonts w:ascii="Sora" w:hAnsi="Sora" w:cs="Sora"/>
          <w:b/>
          <w:bCs/>
          <w:noProof/>
          <w:color w:val="262626" w:themeColor="text1" w:themeTint="D9"/>
          <w:lang w:val="en-US" w:eastAsia="en-GB"/>
        </w:rPr>
      </w:pPr>
    </w:p>
    <w:p w14:paraId="40A42CF1" w14:textId="77777777" w:rsidR="00FC19DD" w:rsidRPr="00FC19DD" w:rsidRDefault="00FC19DD" w:rsidP="00FC19DD">
      <w:pPr>
        <w:spacing w:before="120"/>
        <w:rPr>
          <w:rFonts w:ascii="Sora" w:hAnsi="Sora" w:cs="Sora"/>
          <w:b/>
          <w:bCs/>
          <w:noProof/>
          <w:color w:val="262626" w:themeColor="text1" w:themeTint="D9"/>
          <w:lang w:val="en-US" w:eastAsia="en-GB"/>
        </w:rPr>
      </w:pPr>
      <w:r w:rsidRPr="00FC19DD">
        <w:rPr>
          <w:rFonts w:ascii="Sora" w:hAnsi="Sora" w:cs="Sora"/>
          <w:b/>
          <w:bCs/>
          <w:noProof/>
          <w:color w:val="262626" w:themeColor="text1" w:themeTint="D9"/>
          <w:lang w:val="en-US" w:eastAsia="en-GB"/>
        </w:rPr>
        <w:br w:type="page"/>
      </w:r>
    </w:p>
    <w:p w14:paraId="755CE620" w14:textId="77777777" w:rsidR="00FC19DD" w:rsidRPr="00FC19DD" w:rsidRDefault="00FC19DD" w:rsidP="00FC19DD">
      <w:pPr>
        <w:numPr>
          <w:ilvl w:val="0"/>
          <w:numId w:val="5"/>
        </w:numPr>
        <w:spacing w:before="120" w:line="192" w:lineRule="auto"/>
        <w:outlineLvl w:val="1"/>
        <w:rPr>
          <w:rFonts w:ascii="Poppins" w:hAnsi="Poppins" w:cs="Poppins"/>
          <w:b/>
          <w:bCs/>
          <w:iCs/>
          <w:caps/>
          <w:noProof/>
          <w:color w:val="262626" w:themeColor="text1" w:themeTint="D9"/>
          <w:sz w:val="28"/>
          <w:szCs w:val="32"/>
          <w:lang w:eastAsia="en-GB"/>
        </w:rPr>
      </w:pPr>
      <w:bookmarkStart w:id="0" w:name="_how_employers_can_1"/>
      <w:bookmarkEnd w:id="0"/>
      <w:r w:rsidRPr="00FC19DD">
        <w:rPr>
          <w:rFonts w:ascii="Poppins" w:hAnsi="Poppins" w:cs="Poppins"/>
          <w:b/>
          <w:bCs/>
          <w:iCs/>
          <w:caps/>
          <w:noProof/>
          <w:color w:val="262626" w:themeColor="text1" w:themeTint="D9"/>
          <w:sz w:val="28"/>
          <w:szCs w:val="32"/>
          <w:lang w:eastAsia="en-GB"/>
        </w:rPr>
        <w:lastRenderedPageBreak/>
        <w:t>how employers can contribute to t level delivery</w:t>
      </w:r>
    </w:p>
    <w:tbl>
      <w:tblPr>
        <w:tblStyle w:val="TableGrid"/>
        <w:tblW w:w="9443" w:type="dxa"/>
        <w:tblInd w:w="-5" w:type="dxa"/>
        <w:tblLook w:val="04A0" w:firstRow="1" w:lastRow="0" w:firstColumn="1" w:lastColumn="0" w:noHBand="0" w:noVBand="1"/>
      </w:tblPr>
      <w:tblGrid>
        <w:gridCol w:w="5783"/>
        <w:gridCol w:w="3660"/>
      </w:tblGrid>
      <w:tr w:rsidR="00FC19DD" w:rsidRPr="00FC19DD" w14:paraId="42CF8889" w14:textId="77777777" w:rsidTr="005425AD">
        <w:trPr>
          <w:trHeight w:val="794"/>
          <w:tblHeader/>
        </w:trPr>
        <w:tc>
          <w:tcPr>
            <w:tcW w:w="5783" w:type="dxa"/>
            <w:shd w:val="clear" w:color="auto" w:fill="765AB0"/>
            <w:vAlign w:val="center"/>
          </w:tcPr>
          <w:p w14:paraId="07F54BE5" w14:textId="77777777" w:rsidR="00FC19DD" w:rsidRPr="00FC19DD" w:rsidRDefault="00FC19DD" w:rsidP="00FC19DD">
            <w:pPr>
              <w:outlineLvl w:val="2"/>
              <w:rPr>
                <w:rFonts w:ascii="Sora" w:hAnsi="Sora" w:cs="Sora"/>
                <w:b/>
                <w:bCs/>
                <w:iCs/>
                <w:caps/>
                <w:noProof/>
                <w:color w:val="FFFFFF" w:themeColor="background1"/>
                <w:lang w:val="en-US" w:eastAsia="en-GB"/>
              </w:rPr>
            </w:pPr>
            <w:r w:rsidRPr="00FC19DD">
              <w:rPr>
                <w:rFonts w:ascii="Sora" w:hAnsi="Sora" w:cs="Sora"/>
                <w:b/>
                <w:bCs/>
                <w:iCs/>
                <w:noProof/>
                <w:color w:val="FFFFFF" w:themeColor="background1"/>
                <w:lang w:val="en-US" w:eastAsia="en-GB"/>
              </w:rPr>
              <w:t>What employers can do</w:t>
            </w:r>
          </w:p>
        </w:tc>
        <w:tc>
          <w:tcPr>
            <w:tcW w:w="3660" w:type="dxa"/>
            <w:shd w:val="clear" w:color="auto" w:fill="765AB0"/>
            <w:vAlign w:val="center"/>
          </w:tcPr>
          <w:p w14:paraId="686D43D1" w14:textId="77777777" w:rsidR="00FC19DD" w:rsidRPr="00FC19DD" w:rsidRDefault="00FC19DD" w:rsidP="00FC19DD">
            <w:pPr>
              <w:outlineLvl w:val="2"/>
              <w:rPr>
                <w:rFonts w:ascii="Sora" w:hAnsi="Sora" w:cs="Sora"/>
                <w:b/>
                <w:bCs/>
                <w:iCs/>
                <w:caps/>
                <w:noProof/>
                <w:color w:val="FFFFFF" w:themeColor="background1"/>
                <w:lang w:val="en-US" w:eastAsia="en-GB"/>
              </w:rPr>
            </w:pPr>
            <w:r w:rsidRPr="00FC19DD">
              <w:rPr>
                <w:rFonts w:ascii="Sora" w:hAnsi="Sora" w:cs="Sora"/>
                <w:b/>
                <w:bCs/>
                <w:iCs/>
                <w:noProof/>
                <w:color w:val="FFFFFF" w:themeColor="background1"/>
                <w:lang w:val="en-US" w:eastAsia="en-GB"/>
              </w:rPr>
              <w:t>Notes</w:t>
            </w:r>
          </w:p>
        </w:tc>
      </w:tr>
      <w:tr w:rsidR="00FC19DD" w:rsidRPr="00FC19DD" w14:paraId="37E4090B" w14:textId="77777777" w:rsidTr="005425AD">
        <w:trPr>
          <w:trHeight w:val="1587"/>
        </w:trPr>
        <w:tc>
          <w:tcPr>
            <w:tcW w:w="5783" w:type="dxa"/>
          </w:tcPr>
          <w:p w14:paraId="2EB5C0EB" w14:textId="77777777" w:rsidR="00FC19DD" w:rsidRPr="00FC19DD" w:rsidRDefault="00FC19DD" w:rsidP="00FC19DD">
            <w:pPr>
              <w:numPr>
                <w:ilvl w:val="0"/>
                <w:numId w:val="3"/>
              </w:numPr>
              <w:spacing w:before="240" w:after="240"/>
              <w:rPr>
                <w:rFonts w:ascii="Sora" w:hAnsi="Sora" w:cs="Sora"/>
                <w:noProof/>
                <w:color w:val="262626" w:themeColor="text1" w:themeTint="D9"/>
                <w:lang w:val="en-US" w:eastAsia="en-GB"/>
              </w:rPr>
            </w:pPr>
            <w:r w:rsidRPr="00FC19DD">
              <w:rPr>
                <w:rFonts w:ascii="Sora" w:hAnsi="Sora" w:cs="Sora"/>
                <w:noProof/>
                <w:color w:val="262626" w:themeColor="text1" w:themeTint="D9"/>
                <w:lang w:val="en-US" w:eastAsia="en-GB"/>
              </w:rPr>
              <w:t xml:space="preserve">Help you to plan the curriculum by providing insights into industry standards and performance expectations. </w:t>
            </w:r>
          </w:p>
        </w:tc>
        <w:tc>
          <w:tcPr>
            <w:tcW w:w="3660" w:type="dxa"/>
          </w:tcPr>
          <w:p w14:paraId="0DB6C659" w14:textId="77777777" w:rsidR="00FC19DD" w:rsidRPr="00FC19DD" w:rsidRDefault="00FC19DD" w:rsidP="00FC19DD">
            <w:pPr>
              <w:spacing w:before="240" w:after="240"/>
              <w:ind w:left="3"/>
              <w:rPr>
                <w:rFonts w:ascii="Sora" w:hAnsi="Sora" w:cs="Sora"/>
                <w:noProof/>
                <w:color w:val="262626" w:themeColor="text1" w:themeTint="D9"/>
                <w:lang w:val="en-US" w:eastAsia="en-GB"/>
              </w:rPr>
            </w:pPr>
          </w:p>
        </w:tc>
      </w:tr>
      <w:tr w:rsidR="00FC19DD" w:rsidRPr="00FC19DD" w14:paraId="7167D947" w14:textId="77777777" w:rsidTr="005425AD">
        <w:trPr>
          <w:trHeight w:val="1587"/>
        </w:trPr>
        <w:tc>
          <w:tcPr>
            <w:tcW w:w="5783" w:type="dxa"/>
          </w:tcPr>
          <w:p w14:paraId="423BB420" w14:textId="77777777" w:rsidR="00FC19DD" w:rsidRPr="00FC19DD" w:rsidRDefault="00FC19DD" w:rsidP="00FC19DD">
            <w:pPr>
              <w:numPr>
                <w:ilvl w:val="0"/>
                <w:numId w:val="3"/>
              </w:numPr>
              <w:spacing w:before="240" w:after="240"/>
              <w:rPr>
                <w:rFonts w:ascii="Sora" w:hAnsi="Sora" w:cs="Sora"/>
                <w:noProof/>
                <w:color w:val="262626" w:themeColor="text1" w:themeTint="D9"/>
                <w:lang w:val="en-US" w:eastAsia="en-GB"/>
              </w:rPr>
            </w:pPr>
            <w:r w:rsidRPr="00FC19DD">
              <w:rPr>
                <w:rFonts w:ascii="Sora" w:hAnsi="Sora" w:cs="Sora"/>
                <w:noProof/>
                <w:color w:val="262626" w:themeColor="text1" w:themeTint="D9"/>
                <w:lang w:val="en-US" w:eastAsia="en-GB"/>
              </w:rPr>
              <w:t>Give talks about their industry and their own business to help students learn about the career paths and occupational specialisms available in the sector and locality.</w:t>
            </w:r>
          </w:p>
        </w:tc>
        <w:tc>
          <w:tcPr>
            <w:tcW w:w="3660" w:type="dxa"/>
          </w:tcPr>
          <w:p w14:paraId="077A1442" w14:textId="77777777" w:rsidR="00FC19DD" w:rsidRPr="00FC19DD" w:rsidRDefault="00FC19DD" w:rsidP="00FC19DD">
            <w:pPr>
              <w:spacing w:before="240" w:after="240"/>
              <w:ind w:left="3"/>
              <w:rPr>
                <w:rFonts w:ascii="Sora" w:hAnsi="Sora" w:cs="Sora"/>
                <w:noProof/>
                <w:color w:val="262626" w:themeColor="text1" w:themeTint="D9"/>
                <w:lang w:val="en-US" w:eastAsia="en-GB"/>
              </w:rPr>
            </w:pPr>
          </w:p>
        </w:tc>
      </w:tr>
      <w:tr w:rsidR="00FC19DD" w:rsidRPr="00FC19DD" w14:paraId="21A0EEDC" w14:textId="77777777" w:rsidTr="005425AD">
        <w:trPr>
          <w:trHeight w:val="1587"/>
        </w:trPr>
        <w:tc>
          <w:tcPr>
            <w:tcW w:w="5783" w:type="dxa"/>
          </w:tcPr>
          <w:p w14:paraId="38076690" w14:textId="77777777" w:rsidR="00FC19DD" w:rsidRPr="00FC19DD" w:rsidRDefault="00FC19DD" w:rsidP="00FC19DD">
            <w:pPr>
              <w:numPr>
                <w:ilvl w:val="0"/>
                <w:numId w:val="3"/>
              </w:numPr>
              <w:spacing w:before="240" w:after="240"/>
              <w:rPr>
                <w:rFonts w:ascii="Sora" w:hAnsi="Sora" w:cs="Sora"/>
                <w:noProof/>
                <w:color w:val="262626" w:themeColor="text1" w:themeTint="D9"/>
                <w:lang w:val="en-US" w:eastAsia="en-GB"/>
              </w:rPr>
            </w:pPr>
            <w:r w:rsidRPr="00FC19DD">
              <w:rPr>
                <w:rFonts w:ascii="Sora" w:hAnsi="Sora" w:cs="Sora"/>
                <w:noProof/>
                <w:color w:val="262626" w:themeColor="text1" w:themeTint="D9"/>
                <w:lang w:val="en-US" w:eastAsia="en-GB"/>
              </w:rPr>
              <w:t>Provide employer-set briefs for assignments and projects which require students to select, integrate and apply relevant knowledge and skills in an authentic context.</w:t>
            </w:r>
          </w:p>
        </w:tc>
        <w:tc>
          <w:tcPr>
            <w:tcW w:w="3660" w:type="dxa"/>
          </w:tcPr>
          <w:p w14:paraId="0EF68033" w14:textId="77777777" w:rsidR="00FC19DD" w:rsidRPr="00FC19DD" w:rsidRDefault="00FC19DD" w:rsidP="00FC19DD">
            <w:pPr>
              <w:spacing w:before="240" w:after="240"/>
              <w:ind w:left="3"/>
              <w:rPr>
                <w:rFonts w:ascii="Sora" w:hAnsi="Sora" w:cs="Sora"/>
                <w:noProof/>
                <w:color w:val="262626" w:themeColor="text1" w:themeTint="D9"/>
                <w:lang w:val="en-US" w:eastAsia="en-GB"/>
              </w:rPr>
            </w:pPr>
          </w:p>
        </w:tc>
      </w:tr>
      <w:tr w:rsidR="00FC19DD" w:rsidRPr="00FC19DD" w14:paraId="29D0C977" w14:textId="77777777" w:rsidTr="005425AD">
        <w:trPr>
          <w:trHeight w:val="1587"/>
        </w:trPr>
        <w:tc>
          <w:tcPr>
            <w:tcW w:w="5783" w:type="dxa"/>
          </w:tcPr>
          <w:p w14:paraId="35F82897" w14:textId="774CFC9C" w:rsidR="00FC19DD" w:rsidRPr="00FC19DD" w:rsidRDefault="00FC19DD" w:rsidP="00FC19DD">
            <w:pPr>
              <w:pStyle w:val="ListParagraph"/>
              <w:numPr>
                <w:ilvl w:val="0"/>
                <w:numId w:val="3"/>
              </w:numPr>
              <w:spacing w:before="240" w:after="240"/>
              <w:rPr>
                <w:rFonts w:ascii="Sora" w:hAnsi="Sora" w:cs="Sora"/>
                <w:noProof/>
                <w:color w:val="262626" w:themeColor="text1" w:themeTint="D9"/>
                <w:lang w:val="en-US" w:eastAsia="en-GB"/>
              </w:rPr>
            </w:pPr>
            <w:r w:rsidRPr="00FC19DD">
              <w:rPr>
                <w:rFonts w:ascii="Sora" w:hAnsi="Sora" w:cs="Sora"/>
                <w:noProof/>
                <w:color w:val="262626" w:themeColor="text1" w:themeTint="D9"/>
                <w:lang w:val="en-US" w:eastAsia="en-GB"/>
              </w:rPr>
              <w:t>Help you to assess students’ progress by giving feedback on their work on assignments and projects.</w:t>
            </w:r>
          </w:p>
        </w:tc>
        <w:tc>
          <w:tcPr>
            <w:tcW w:w="3660" w:type="dxa"/>
          </w:tcPr>
          <w:p w14:paraId="0C3A0B51" w14:textId="77777777" w:rsidR="00FC19DD" w:rsidRPr="00FC19DD" w:rsidRDefault="00FC19DD" w:rsidP="00FC19DD">
            <w:pPr>
              <w:spacing w:before="240" w:after="240"/>
              <w:ind w:left="3"/>
              <w:rPr>
                <w:rFonts w:ascii="Sora" w:hAnsi="Sora" w:cs="Sora"/>
                <w:noProof/>
                <w:color w:val="262626" w:themeColor="text1" w:themeTint="D9"/>
                <w:lang w:val="en-US" w:eastAsia="en-GB"/>
              </w:rPr>
            </w:pPr>
          </w:p>
        </w:tc>
      </w:tr>
      <w:tr w:rsidR="00FC19DD" w:rsidRPr="00FC19DD" w14:paraId="4C46DF74" w14:textId="77777777" w:rsidTr="005425AD">
        <w:trPr>
          <w:trHeight w:val="1587"/>
        </w:trPr>
        <w:tc>
          <w:tcPr>
            <w:tcW w:w="5783" w:type="dxa"/>
          </w:tcPr>
          <w:p w14:paraId="49CDA60F" w14:textId="6F1F321E" w:rsidR="00FC19DD" w:rsidRPr="00FC19DD" w:rsidRDefault="00FC19DD" w:rsidP="00FC19DD">
            <w:pPr>
              <w:pStyle w:val="ListParagraph"/>
              <w:numPr>
                <w:ilvl w:val="0"/>
                <w:numId w:val="3"/>
              </w:numPr>
              <w:spacing w:before="240" w:after="240"/>
              <w:rPr>
                <w:rFonts w:ascii="Sora" w:hAnsi="Sora" w:cs="Sora"/>
                <w:noProof/>
                <w:color w:val="262626" w:themeColor="text1" w:themeTint="D9"/>
                <w:lang w:val="en-US" w:eastAsia="en-GB"/>
              </w:rPr>
            </w:pPr>
            <w:r w:rsidRPr="00FC19DD">
              <w:rPr>
                <w:rFonts w:ascii="Sora" w:hAnsi="Sora" w:cs="Sora"/>
                <w:noProof/>
                <w:color w:val="262626" w:themeColor="text1" w:themeTint="D9"/>
                <w:lang w:val="en-US" w:eastAsia="en-GB"/>
              </w:rPr>
              <w:t>Provide access to specialist, state-of-the-art equipment and facilities to give students experience of the resources, tools and techniques used in the industry.</w:t>
            </w:r>
          </w:p>
        </w:tc>
        <w:tc>
          <w:tcPr>
            <w:tcW w:w="3660" w:type="dxa"/>
          </w:tcPr>
          <w:p w14:paraId="71686064" w14:textId="77777777" w:rsidR="00FC19DD" w:rsidRPr="00FC19DD" w:rsidRDefault="00FC19DD" w:rsidP="00FC19DD">
            <w:pPr>
              <w:spacing w:before="240" w:after="240"/>
              <w:ind w:left="3"/>
              <w:rPr>
                <w:rFonts w:ascii="Sora" w:hAnsi="Sora" w:cs="Sora"/>
                <w:noProof/>
                <w:color w:val="262626" w:themeColor="text1" w:themeTint="D9"/>
                <w:lang w:val="en-US" w:eastAsia="en-GB"/>
              </w:rPr>
            </w:pPr>
          </w:p>
        </w:tc>
      </w:tr>
      <w:tr w:rsidR="00FC19DD" w:rsidRPr="00FC19DD" w14:paraId="311ED5F2" w14:textId="77777777" w:rsidTr="005425AD">
        <w:trPr>
          <w:trHeight w:val="1587"/>
        </w:trPr>
        <w:tc>
          <w:tcPr>
            <w:tcW w:w="5783" w:type="dxa"/>
            <w:vAlign w:val="center"/>
          </w:tcPr>
          <w:p w14:paraId="55F73A2F" w14:textId="2498276F" w:rsidR="00FC19DD" w:rsidRPr="00FC19DD" w:rsidRDefault="00FC19DD" w:rsidP="00FC19DD">
            <w:pPr>
              <w:pStyle w:val="ListParagraph"/>
              <w:numPr>
                <w:ilvl w:val="0"/>
                <w:numId w:val="3"/>
              </w:numPr>
              <w:spacing w:after="240" w:line="276" w:lineRule="auto"/>
              <w:rPr>
                <w:rFonts w:ascii="Sora" w:hAnsi="Sora" w:cs="Sora"/>
                <w:noProof/>
                <w:color w:val="262626" w:themeColor="text1" w:themeTint="D9"/>
                <w:lang w:val="en-US" w:eastAsia="en-GB"/>
              </w:rPr>
            </w:pPr>
            <w:r w:rsidRPr="00FC19DD">
              <w:rPr>
                <w:rFonts w:ascii="Sora" w:hAnsi="Sora" w:cs="Sora"/>
                <w:noProof/>
                <w:color w:val="262626" w:themeColor="text1" w:themeTint="D9"/>
                <w:lang w:val="en-US" w:eastAsia="en-GB"/>
              </w:rPr>
              <w:t>Provide staff to help teach students highly specialist knowledge and skills.</w:t>
            </w:r>
          </w:p>
        </w:tc>
        <w:tc>
          <w:tcPr>
            <w:tcW w:w="3660" w:type="dxa"/>
            <w:vAlign w:val="center"/>
          </w:tcPr>
          <w:p w14:paraId="087FFD23" w14:textId="77777777" w:rsidR="00FC19DD" w:rsidRPr="00FC19DD" w:rsidRDefault="00FC19DD" w:rsidP="00FC19DD">
            <w:pPr>
              <w:spacing w:before="240" w:after="240"/>
              <w:ind w:left="3"/>
              <w:rPr>
                <w:rFonts w:ascii="Sora" w:hAnsi="Sora" w:cs="Sora"/>
                <w:noProof/>
                <w:color w:val="262626" w:themeColor="text1" w:themeTint="D9"/>
                <w:lang w:eastAsia="en-GB"/>
              </w:rPr>
            </w:pPr>
          </w:p>
        </w:tc>
      </w:tr>
      <w:tr w:rsidR="00FC19DD" w:rsidRPr="00FC19DD" w14:paraId="758ADD5C" w14:textId="77777777" w:rsidTr="005425AD">
        <w:trPr>
          <w:trHeight w:val="1587"/>
        </w:trPr>
        <w:tc>
          <w:tcPr>
            <w:tcW w:w="5783" w:type="dxa"/>
            <w:vAlign w:val="center"/>
          </w:tcPr>
          <w:p w14:paraId="07028187" w14:textId="77777777" w:rsidR="00FC19DD" w:rsidRPr="00FC19DD" w:rsidRDefault="00FC19DD" w:rsidP="00FC19DD">
            <w:pPr>
              <w:numPr>
                <w:ilvl w:val="0"/>
                <w:numId w:val="3"/>
              </w:numPr>
              <w:spacing w:before="240" w:after="240"/>
              <w:contextualSpacing/>
              <w:rPr>
                <w:rFonts w:ascii="Sora" w:hAnsi="Sora" w:cs="Sora"/>
                <w:noProof/>
                <w:color w:val="262626" w:themeColor="text1" w:themeTint="D9"/>
                <w:lang w:val="en-US" w:eastAsia="en-GB"/>
              </w:rPr>
            </w:pPr>
            <w:r w:rsidRPr="00FC19DD">
              <w:rPr>
                <w:rFonts w:ascii="Sora" w:hAnsi="Sora" w:cs="Sora"/>
                <w:noProof/>
                <w:color w:val="262626" w:themeColor="text1" w:themeTint="D9"/>
                <w:lang w:val="en-US" w:eastAsia="en-GB"/>
              </w:rPr>
              <w:t>Take part in events to celebrate students’ achievements and raise awareness of the breadth and depth of T Levels among potential students and their parents, carers or guardians.</w:t>
            </w:r>
          </w:p>
        </w:tc>
        <w:tc>
          <w:tcPr>
            <w:tcW w:w="3660" w:type="dxa"/>
            <w:vAlign w:val="center"/>
          </w:tcPr>
          <w:p w14:paraId="062FDF01" w14:textId="77777777" w:rsidR="00FC19DD" w:rsidRPr="00FC19DD" w:rsidRDefault="00FC19DD" w:rsidP="00FC19DD">
            <w:pPr>
              <w:spacing w:before="240" w:after="240"/>
              <w:ind w:left="3"/>
              <w:rPr>
                <w:rFonts w:ascii="Sora" w:hAnsi="Sora" w:cs="Sora"/>
                <w:noProof/>
                <w:color w:val="262626" w:themeColor="text1" w:themeTint="D9"/>
                <w:lang w:eastAsia="en-GB"/>
              </w:rPr>
            </w:pPr>
          </w:p>
        </w:tc>
      </w:tr>
    </w:tbl>
    <w:p w14:paraId="6B5B14DF" w14:textId="0FF1A583" w:rsidR="00FC19DD" w:rsidRDefault="00FC19DD" w:rsidP="00FC19DD">
      <w:pPr>
        <w:spacing w:before="120"/>
        <w:rPr>
          <w:rFonts w:ascii="Sora" w:hAnsi="Sora" w:cs="Sora"/>
          <w:b/>
          <w:bCs/>
          <w:noProof/>
          <w:color w:val="262626" w:themeColor="text1" w:themeTint="D9"/>
          <w:lang w:val="en-US" w:eastAsia="en-GB"/>
        </w:rPr>
      </w:pPr>
    </w:p>
    <w:p w14:paraId="44675234" w14:textId="77777777" w:rsidR="00FC19DD" w:rsidRPr="00FC19DD" w:rsidRDefault="00FC19DD" w:rsidP="00FC19DD">
      <w:pPr>
        <w:spacing w:before="120"/>
        <w:rPr>
          <w:rFonts w:ascii="Sora" w:hAnsi="Sora" w:cs="Sora"/>
          <w:b/>
          <w:bCs/>
          <w:noProof/>
          <w:color w:val="262626" w:themeColor="text1" w:themeTint="D9"/>
          <w:lang w:val="en-US" w:eastAsia="en-GB"/>
        </w:rPr>
      </w:pPr>
    </w:p>
    <w:p w14:paraId="203C91FF" w14:textId="77777777" w:rsidR="00FC19DD" w:rsidRPr="00FC19DD" w:rsidRDefault="00FC19DD" w:rsidP="00FC19DD">
      <w:pPr>
        <w:numPr>
          <w:ilvl w:val="0"/>
          <w:numId w:val="5"/>
        </w:numPr>
        <w:spacing w:before="120" w:line="192" w:lineRule="auto"/>
        <w:outlineLvl w:val="1"/>
        <w:rPr>
          <w:rFonts w:ascii="Poppins" w:hAnsi="Poppins" w:cs="Poppins"/>
          <w:b/>
          <w:bCs/>
          <w:iCs/>
          <w:caps/>
          <w:noProof/>
          <w:color w:val="262626" w:themeColor="text1" w:themeTint="D9"/>
          <w:sz w:val="28"/>
          <w:szCs w:val="32"/>
          <w:lang w:eastAsia="en-GB"/>
        </w:rPr>
      </w:pPr>
      <w:bookmarkStart w:id="1" w:name="_TOPICS_FOR_DISCUSSION"/>
      <w:bookmarkEnd w:id="1"/>
      <w:r w:rsidRPr="00FC19DD">
        <w:rPr>
          <w:rFonts w:ascii="Poppins" w:hAnsi="Poppins" w:cs="Poppins"/>
          <w:b/>
          <w:bCs/>
          <w:iCs/>
          <w:caps/>
          <w:noProof/>
          <w:color w:val="262626" w:themeColor="text1" w:themeTint="D9"/>
          <w:sz w:val="28"/>
          <w:szCs w:val="32"/>
          <w:lang w:eastAsia="en-GB"/>
        </w:rPr>
        <w:lastRenderedPageBreak/>
        <w:t>TOPICS FOR DISCUSSION with individual employers and networks</w:t>
      </w:r>
    </w:p>
    <w:tbl>
      <w:tblPr>
        <w:tblStyle w:val="TableGrid"/>
        <w:tblW w:w="9383" w:type="dxa"/>
        <w:tblInd w:w="-5" w:type="dxa"/>
        <w:tblLook w:val="04A0" w:firstRow="1" w:lastRow="0" w:firstColumn="1" w:lastColumn="0" w:noHBand="0" w:noVBand="1"/>
      </w:tblPr>
      <w:tblGrid>
        <w:gridCol w:w="5783"/>
        <w:gridCol w:w="3600"/>
      </w:tblGrid>
      <w:tr w:rsidR="00FC19DD" w:rsidRPr="00FC19DD" w14:paraId="4698DA7C" w14:textId="77777777" w:rsidTr="005425AD">
        <w:trPr>
          <w:trHeight w:val="794"/>
          <w:tblHeader/>
        </w:trPr>
        <w:tc>
          <w:tcPr>
            <w:tcW w:w="5783" w:type="dxa"/>
            <w:shd w:val="clear" w:color="auto" w:fill="765AB0"/>
            <w:vAlign w:val="center"/>
          </w:tcPr>
          <w:p w14:paraId="4EB9952A" w14:textId="77777777" w:rsidR="00FC19DD" w:rsidRPr="00FC19DD" w:rsidRDefault="00FC19DD" w:rsidP="00FC19DD">
            <w:pPr>
              <w:outlineLvl w:val="2"/>
              <w:rPr>
                <w:rFonts w:ascii="Sora" w:hAnsi="Sora" w:cs="Sora"/>
                <w:b/>
                <w:bCs/>
                <w:iCs/>
                <w:caps/>
                <w:noProof/>
                <w:color w:val="FFFFFF" w:themeColor="background1"/>
                <w:lang w:val="en-US" w:eastAsia="en-GB"/>
              </w:rPr>
            </w:pPr>
            <w:r w:rsidRPr="00FC19DD">
              <w:rPr>
                <w:rFonts w:ascii="Sora" w:hAnsi="Sora" w:cs="Sora"/>
                <w:b/>
                <w:bCs/>
                <w:iCs/>
                <w:noProof/>
                <w:color w:val="FFFFFF" w:themeColor="background1"/>
                <w:lang w:val="en-US" w:eastAsia="en-GB"/>
              </w:rPr>
              <w:t>Topics</w:t>
            </w:r>
          </w:p>
        </w:tc>
        <w:tc>
          <w:tcPr>
            <w:tcW w:w="3600" w:type="dxa"/>
            <w:shd w:val="clear" w:color="auto" w:fill="765AB0"/>
            <w:vAlign w:val="center"/>
          </w:tcPr>
          <w:p w14:paraId="409C4892" w14:textId="77777777" w:rsidR="00FC19DD" w:rsidRPr="00FC19DD" w:rsidRDefault="00FC19DD" w:rsidP="00FC19DD">
            <w:pPr>
              <w:outlineLvl w:val="2"/>
              <w:rPr>
                <w:rFonts w:ascii="Sora" w:hAnsi="Sora" w:cs="Sora"/>
                <w:b/>
                <w:bCs/>
                <w:iCs/>
                <w:caps/>
                <w:noProof/>
                <w:color w:val="FFFFFF" w:themeColor="background1"/>
                <w:lang w:val="en-US" w:eastAsia="en-GB"/>
              </w:rPr>
            </w:pPr>
            <w:r w:rsidRPr="00FC19DD">
              <w:rPr>
                <w:rFonts w:ascii="Sora" w:hAnsi="Sora" w:cs="Sora"/>
                <w:b/>
                <w:bCs/>
                <w:iCs/>
                <w:noProof/>
                <w:color w:val="FFFFFF" w:themeColor="background1"/>
                <w:lang w:val="en-US" w:eastAsia="en-GB"/>
              </w:rPr>
              <w:t>Notes</w:t>
            </w:r>
          </w:p>
        </w:tc>
      </w:tr>
      <w:tr w:rsidR="00FC19DD" w:rsidRPr="00FC19DD" w14:paraId="42795B5C" w14:textId="77777777" w:rsidTr="005425AD">
        <w:trPr>
          <w:trHeight w:val="1587"/>
        </w:trPr>
        <w:tc>
          <w:tcPr>
            <w:tcW w:w="5783" w:type="dxa"/>
          </w:tcPr>
          <w:p w14:paraId="7102B1E4" w14:textId="77777777" w:rsidR="00FC19DD" w:rsidRPr="00FC19DD" w:rsidRDefault="00FC19DD" w:rsidP="00FC19DD">
            <w:pPr>
              <w:numPr>
                <w:ilvl w:val="0"/>
                <w:numId w:val="2"/>
              </w:numPr>
              <w:spacing w:before="240" w:after="240"/>
              <w:rPr>
                <w:rFonts w:ascii="Sora" w:hAnsi="Sora" w:cs="Sora"/>
                <w:noProof/>
                <w:color w:val="262626" w:themeColor="text1" w:themeTint="D9"/>
                <w:lang w:val="en-US" w:eastAsia="en-GB"/>
              </w:rPr>
            </w:pPr>
            <w:r w:rsidRPr="00FC19DD">
              <w:rPr>
                <w:rFonts w:ascii="Sora" w:hAnsi="Sora" w:cs="Sora"/>
                <w:noProof/>
                <w:color w:val="262626" w:themeColor="text1" w:themeTint="D9"/>
                <w:lang w:eastAsia="en-GB"/>
              </w:rPr>
              <w:t>Background to T Levels, overview of their purpose and place in education and training and the value of employers being involved in delivery.</w:t>
            </w:r>
          </w:p>
        </w:tc>
        <w:tc>
          <w:tcPr>
            <w:tcW w:w="3600" w:type="dxa"/>
          </w:tcPr>
          <w:p w14:paraId="0F6F78C8" w14:textId="77777777" w:rsidR="00FC19DD" w:rsidRPr="00FC19DD" w:rsidRDefault="00FC19DD" w:rsidP="00FC19DD">
            <w:pPr>
              <w:spacing w:before="240" w:after="240"/>
              <w:ind w:left="3"/>
              <w:rPr>
                <w:rFonts w:ascii="Sora" w:hAnsi="Sora" w:cs="Sora"/>
                <w:noProof/>
                <w:color w:val="262626" w:themeColor="text1" w:themeTint="D9"/>
                <w:lang w:val="en-US" w:eastAsia="en-GB"/>
              </w:rPr>
            </w:pPr>
          </w:p>
        </w:tc>
      </w:tr>
      <w:tr w:rsidR="00FC19DD" w:rsidRPr="00FC19DD" w14:paraId="1E353F20" w14:textId="77777777" w:rsidTr="005425AD">
        <w:trPr>
          <w:trHeight w:val="1587"/>
        </w:trPr>
        <w:tc>
          <w:tcPr>
            <w:tcW w:w="5783" w:type="dxa"/>
          </w:tcPr>
          <w:p w14:paraId="44B2B5EF" w14:textId="77777777" w:rsidR="00FC19DD" w:rsidRPr="00FC19DD" w:rsidRDefault="00FC19DD" w:rsidP="00FC19DD">
            <w:pPr>
              <w:numPr>
                <w:ilvl w:val="0"/>
                <w:numId w:val="2"/>
              </w:numPr>
              <w:spacing w:before="240" w:after="240"/>
              <w:rPr>
                <w:rFonts w:ascii="Sora" w:hAnsi="Sora" w:cs="Sora"/>
                <w:noProof/>
                <w:color w:val="262626" w:themeColor="text1" w:themeTint="D9"/>
                <w:lang w:eastAsia="en-GB"/>
              </w:rPr>
            </w:pPr>
            <w:r w:rsidRPr="00FC19DD">
              <w:rPr>
                <w:rFonts w:ascii="Sora" w:hAnsi="Sora" w:cs="Sora"/>
                <w:noProof/>
                <w:color w:val="262626" w:themeColor="text1" w:themeTint="D9"/>
                <w:lang w:eastAsia="en-GB"/>
              </w:rPr>
              <w:t>What T Levels include (content), how long they last and how they are structured.</w:t>
            </w:r>
          </w:p>
        </w:tc>
        <w:tc>
          <w:tcPr>
            <w:tcW w:w="3600" w:type="dxa"/>
          </w:tcPr>
          <w:p w14:paraId="16FA5FAD" w14:textId="77777777" w:rsidR="00FC19DD" w:rsidRPr="00FC19DD" w:rsidRDefault="00FC19DD" w:rsidP="00FC19DD">
            <w:pPr>
              <w:spacing w:before="240" w:after="240"/>
              <w:ind w:left="3"/>
              <w:rPr>
                <w:rFonts w:ascii="Sora" w:hAnsi="Sora" w:cs="Sora"/>
                <w:noProof/>
                <w:color w:val="262626" w:themeColor="text1" w:themeTint="D9"/>
                <w:lang w:val="en-US" w:eastAsia="en-GB"/>
              </w:rPr>
            </w:pPr>
          </w:p>
        </w:tc>
      </w:tr>
      <w:tr w:rsidR="00FC19DD" w:rsidRPr="00FC19DD" w14:paraId="39D0FF73" w14:textId="77777777" w:rsidTr="005425AD">
        <w:trPr>
          <w:trHeight w:val="1587"/>
        </w:trPr>
        <w:tc>
          <w:tcPr>
            <w:tcW w:w="5783" w:type="dxa"/>
          </w:tcPr>
          <w:p w14:paraId="7BC368D7" w14:textId="77777777" w:rsidR="00FC19DD" w:rsidRPr="00FC19DD" w:rsidRDefault="00FC19DD" w:rsidP="00FC19DD">
            <w:pPr>
              <w:numPr>
                <w:ilvl w:val="0"/>
                <w:numId w:val="2"/>
              </w:numPr>
              <w:spacing w:before="240" w:after="240"/>
              <w:rPr>
                <w:rFonts w:ascii="Sora" w:hAnsi="Sora" w:cs="Sora"/>
                <w:noProof/>
                <w:color w:val="262626" w:themeColor="text1" w:themeTint="D9"/>
                <w:lang w:eastAsia="en-GB"/>
              </w:rPr>
            </w:pPr>
            <w:r w:rsidRPr="00FC19DD">
              <w:rPr>
                <w:rFonts w:ascii="Sora" w:hAnsi="Sora" w:cs="Sora"/>
                <w:noProof/>
                <w:color w:val="262626" w:themeColor="text1" w:themeTint="D9"/>
                <w:lang w:eastAsia="en-GB"/>
              </w:rPr>
              <w:t>Which T Levels you offer now and your plans to offer more T Levels in future.</w:t>
            </w:r>
          </w:p>
        </w:tc>
        <w:tc>
          <w:tcPr>
            <w:tcW w:w="3600" w:type="dxa"/>
          </w:tcPr>
          <w:p w14:paraId="129A057B" w14:textId="77777777" w:rsidR="00FC19DD" w:rsidRPr="00FC19DD" w:rsidRDefault="00FC19DD" w:rsidP="00FC19DD">
            <w:pPr>
              <w:spacing w:before="240" w:after="240"/>
              <w:rPr>
                <w:rFonts w:ascii="Sora" w:hAnsi="Sora" w:cs="Sora"/>
                <w:noProof/>
                <w:color w:val="262626" w:themeColor="text1" w:themeTint="D9"/>
                <w:lang w:val="en-US" w:eastAsia="en-GB"/>
              </w:rPr>
            </w:pPr>
          </w:p>
        </w:tc>
      </w:tr>
      <w:tr w:rsidR="00FC19DD" w:rsidRPr="00FC19DD" w14:paraId="28E864A8" w14:textId="77777777" w:rsidTr="005425AD">
        <w:trPr>
          <w:trHeight w:val="1587"/>
        </w:trPr>
        <w:tc>
          <w:tcPr>
            <w:tcW w:w="5783" w:type="dxa"/>
          </w:tcPr>
          <w:p w14:paraId="21E4A85C" w14:textId="77777777" w:rsidR="00FC19DD" w:rsidRPr="00FC19DD" w:rsidRDefault="00FC19DD" w:rsidP="00FC19DD">
            <w:pPr>
              <w:numPr>
                <w:ilvl w:val="0"/>
                <w:numId w:val="2"/>
              </w:numPr>
              <w:spacing w:before="240" w:after="240"/>
              <w:rPr>
                <w:rFonts w:ascii="Sora" w:hAnsi="Sora" w:cs="Sora"/>
                <w:noProof/>
                <w:color w:val="262626" w:themeColor="text1" w:themeTint="D9"/>
                <w:lang w:eastAsia="en-GB"/>
              </w:rPr>
            </w:pPr>
            <w:r w:rsidRPr="00FC19DD">
              <w:rPr>
                <w:rFonts w:ascii="Sora" w:hAnsi="Sora" w:cs="Sora"/>
                <w:noProof/>
                <w:color w:val="262626" w:themeColor="text1" w:themeTint="D9"/>
                <w:lang w:eastAsia="en-GB"/>
              </w:rPr>
              <w:t>The benefits of T Levels and industry placements to employers, students and the sector.</w:t>
            </w:r>
          </w:p>
        </w:tc>
        <w:tc>
          <w:tcPr>
            <w:tcW w:w="3600" w:type="dxa"/>
          </w:tcPr>
          <w:p w14:paraId="5C1B9322" w14:textId="77777777" w:rsidR="00FC19DD" w:rsidRPr="00FC19DD" w:rsidRDefault="00FC19DD" w:rsidP="00FC19DD">
            <w:pPr>
              <w:spacing w:before="240" w:after="240"/>
              <w:ind w:left="3"/>
              <w:rPr>
                <w:rFonts w:ascii="Sora" w:hAnsi="Sora" w:cs="Sora"/>
                <w:noProof/>
                <w:color w:val="262626" w:themeColor="text1" w:themeTint="D9"/>
                <w:lang w:val="en-US" w:eastAsia="en-GB"/>
              </w:rPr>
            </w:pPr>
          </w:p>
        </w:tc>
      </w:tr>
      <w:tr w:rsidR="00FC19DD" w:rsidRPr="00FC19DD" w14:paraId="706430BA" w14:textId="77777777" w:rsidTr="005425AD">
        <w:trPr>
          <w:trHeight w:val="1587"/>
        </w:trPr>
        <w:tc>
          <w:tcPr>
            <w:tcW w:w="5783" w:type="dxa"/>
          </w:tcPr>
          <w:p w14:paraId="766A4AAF" w14:textId="77777777" w:rsidR="00FC19DD" w:rsidRPr="00FC19DD" w:rsidRDefault="00FC19DD" w:rsidP="00FC19DD">
            <w:pPr>
              <w:numPr>
                <w:ilvl w:val="0"/>
                <w:numId w:val="2"/>
              </w:numPr>
              <w:spacing w:before="240" w:after="240"/>
              <w:rPr>
                <w:rFonts w:ascii="Sora" w:hAnsi="Sora" w:cs="Sora"/>
                <w:noProof/>
                <w:color w:val="262626" w:themeColor="text1" w:themeTint="D9"/>
                <w:lang w:val="en-US" w:eastAsia="en-GB"/>
              </w:rPr>
            </w:pPr>
            <w:r w:rsidRPr="00FC19DD">
              <w:rPr>
                <w:rFonts w:ascii="Sora" w:hAnsi="Sora" w:cs="Sora"/>
                <w:noProof/>
                <w:color w:val="262626" w:themeColor="text1" w:themeTint="D9"/>
                <w:lang w:eastAsia="en-GB"/>
              </w:rPr>
              <w:t>Different industry placements models, emphasising the flexibility to meet employers’ needs.</w:t>
            </w:r>
          </w:p>
        </w:tc>
        <w:tc>
          <w:tcPr>
            <w:tcW w:w="3600" w:type="dxa"/>
          </w:tcPr>
          <w:p w14:paraId="66C00A9E" w14:textId="77777777" w:rsidR="00FC19DD" w:rsidRPr="00FC19DD" w:rsidRDefault="00FC19DD" w:rsidP="00FC19DD">
            <w:pPr>
              <w:spacing w:before="240" w:after="240"/>
              <w:ind w:left="3"/>
              <w:rPr>
                <w:rFonts w:ascii="Sora" w:hAnsi="Sora" w:cs="Sora"/>
                <w:noProof/>
                <w:color w:val="262626" w:themeColor="text1" w:themeTint="D9"/>
                <w:lang w:val="en-US" w:eastAsia="en-GB"/>
              </w:rPr>
            </w:pPr>
          </w:p>
        </w:tc>
      </w:tr>
      <w:tr w:rsidR="00FC19DD" w:rsidRPr="00FC19DD" w14:paraId="6B75C5CF" w14:textId="77777777" w:rsidTr="005425AD">
        <w:trPr>
          <w:trHeight w:val="1587"/>
        </w:trPr>
        <w:tc>
          <w:tcPr>
            <w:tcW w:w="5783" w:type="dxa"/>
          </w:tcPr>
          <w:p w14:paraId="4EAE4DE6" w14:textId="77777777" w:rsidR="00FC19DD" w:rsidRPr="00FC19DD" w:rsidRDefault="00FC19DD" w:rsidP="00FC19DD">
            <w:pPr>
              <w:numPr>
                <w:ilvl w:val="0"/>
                <w:numId w:val="2"/>
              </w:numPr>
              <w:spacing w:before="240" w:after="240"/>
              <w:rPr>
                <w:rFonts w:ascii="Sora" w:hAnsi="Sora" w:cs="Sora"/>
                <w:noProof/>
                <w:color w:val="262626" w:themeColor="text1" w:themeTint="D9"/>
                <w:lang w:val="en-US" w:eastAsia="en-GB"/>
              </w:rPr>
            </w:pPr>
            <w:r w:rsidRPr="00FC19DD">
              <w:rPr>
                <w:rFonts w:ascii="Sora" w:hAnsi="Sora" w:cs="Sora"/>
                <w:noProof/>
                <w:color w:val="262626" w:themeColor="text1" w:themeTint="D9"/>
                <w:lang w:eastAsia="en-GB"/>
              </w:rPr>
              <w:t>Demand for skills and business development opportunities locally and regionally, and the contribution T Levels can make to economic success.</w:t>
            </w:r>
          </w:p>
        </w:tc>
        <w:tc>
          <w:tcPr>
            <w:tcW w:w="3600" w:type="dxa"/>
          </w:tcPr>
          <w:p w14:paraId="0FEF53FD" w14:textId="77777777" w:rsidR="00FC19DD" w:rsidRPr="00FC19DD" w:rsidRDefault="00FC19DD" w:rsidP="00FC19DD">
            <w:pPr>
              <w:spacing w:before="240" w:after="240"/>
              <w:ind w:left="3"/>
              <w:rPr>
                <w:rFonts w:ascii="Sora" w:hAnsi="Sora" w:cs="Sora"/>
                <w:noProof/>
                <w:color w:val="262626" w:themeColor="text1" w:themeTint="D9"/>
                <w:lang w:val="en-US" w:eastAsia="en-GB"/>
              </w:rPr>
            </w:pPr>
          </w:p>
        </w:tc>
      </w:tr>
      <w:tr w:rsidR="00FC19DD" w:rsidRPr="00FC19DD" w14:paraId="312D3D42" w14:textId="77777777" w:rsidTr="005425AD">
        <w:trPr>
          <w:trHeight w:val="1587"/>
        </w:trPr>
        <w:tc>
          <w:tcPr>
            <w:tcW w:w="5783" w:type="dxa"/>
          </w:tcPr>
          <w:p w14:paraId="2032792F" w14:textId="77777777" w:rsidR="00FC19DD" w:rsidRPr="00FC19DD" w:rsidRDefault="00FC19DD" w:rsidP="00FC19DD">
            <w:pPr>
              <w:numPr>
                <w:ilvl w:val="0"/>
                <w:numId w:val="2"/>
              </w:numPr>
              <w:spacing w:before="240" w:after="240"/>
              <w:rPr>
                <w:rFonts w:ascii="Sora" w:hAnsi="Sora" w:cs="Sora"/>
                <w:noProof/>
                <w:color w:val="262626" w:themeColor="text1" w:themeTint="D9"/>
                <w:lang w:val="en-US" w:eastAsia="en-GB"/>
              </w:rPr>
            </w:pPr>
            <w:r w:rsidRPr="00FC19DD">
              <w:rPr>
                <w:rFonts w:ascii="Sora" w:hAnsi="Sora" w:cs="Sora"/>
                <w:noProof/>
                <w:color w:val="262626" w:themeColor="text1" w:themeTint="D9"/>
                <w:lang w:eastAsia="en-GB"/>
              </w:rPr>
              <w:t>Objectives, needs, challenges and opportunities emerging in their business.</w:t>
            </w:r>
          </w:p>
        </w:tc>
        <w:tc>
          <w:tcPr>
            <w:tcW w:w="3600" w:type="dxa"/>
          </w:tcPr>
          <w:p w14:paraId="4B5FB19A" w14:textId="77777777" w:rsidR="00FC19DD" w:rsidRPr="00FC19DD" w:rsidRDefault="00FC19DD" w:rsidP="00FC19DD">
            <w:pPr>
              <w:spacing w:before="240" w:after="240"/>
              <w:ind w:left="3"/>
              <w:rPr>
                <w:rFonts w:ascii="Sora" w:hAnsi="Sora" w:cs="Sora"/>
                <w:noProof/>
                <w:color w:val="262626" w:themeColor="text1" w:themeTint="D9"/>
                <w:lang w:val="en-US" w:eastAsia="en-GB"/>
              </w:rPr>
            </w:pPr>
          </w:p>
        </w:tc>
      </w:tr>
      <w:tr w:rsidR="00FC19DD" w:rsidRPr="00FC19DD" w14:paraId="6E7DC037" w14:textId="77777777" w:rsidTr="005425AD">
        <w:trPr>
          <w:trHeight w:val="1587"/>
        </w:trPr>
        <w:tc>
          <w:tcPr>
            <w:tcW w:w="5783" w:type="dxa"/>
          </w:tcPr>
          <w:p w14:paraId="2F93DE6D" w14:textId="77777777" w:rsidR="00FC19DD" w:rsidRPr="00FC19DD" w:rsidRDefault="00FC19DD" w:rsidP="00FC19DD">
            <w:pPr>
              <w:numPr>
                <w:ilvl w:val="0"/>
                <w:numId w:val="2"/>
              </w:numPr>
              <w:spacing w:before="240" w:after="240"/>
              <w:rPr>
                <w:rFonts w:ascii="Sora" w:hAnsi="Sora" w:cs="Sora"/>
                <w:noProof/>
                <w:color w:val="262626" w:themeColor="text1" w:themeTint="D9"/>
                <w:lang w:val="en-US" w:eastAsia="en-GB"/>
              </w:rPr>
            </w:pPr>
            <w:r w:rsidRPr="00FC19DD">
              <w:rPr>
                <w:rFonts w:ascii="Sora" w:hAnsi="Sora" w:cs="Sora"/>
                <w:noProof/>
                <w:color w:val="262626" w:themeColor="text1" w:themeTint="D9"/>
                <w:lang w:eastAsia="en-GB"/>
              </w:rPr>
              <w:lastRenderedPageBreak/>
              <w:t>Skills shortages and skills gaps</w:t>
            </w:r>
            <w:r w:rsidRPr="00FC19DD">
              <w:rPr>
                <w:rFonts w:ascii="Sora" w:hAnsi="Sora" w:cs="Sora"/>
                <w:noProof/>
                <w:color w:val="262626" w:themeColor="text1" w:themeTint="D9"/>
                <w:vertAlign w:val="superscript"/>
                <w:lang w:eastAsia="en-GB"/>
              </w:rPr>
              <w:footnoteReference w:id="1"/>
            </w:r>
            <w:r w:rsidRPr="00FC19DD">
              <w:rPr>
                <w:rFonts w:ascii="Sora" w:hAnsi="Sora" w:cs="Sora"/>
                <w:noProof/>
                <w:color w:val="262626" w:themeColor="text1" w:themeTint="D9"/>
                <w:lang w:eastAsia="en-GB"/>
              </w:rPr>
              <w:t xml:space="preserve"> and how T Levels can help to solve them.</w:t>
            </w:r>
          </w:p>
        </w:tc>
        <w:tc>
          <w:tcPr>
            <w:tcW w:w="3600" w:type="dxa"/>
          </w:tcPr>
          <w:p w14:paraId="56C8C015" w14:textId="77777777" w:rsidR="00FC19DD" w:rsidRPr="00FC19DD" w:rsidRDefault="00FC19DD" w:rsidP="00FC19DD">
            <w:pPr>
              <w:spacing w:before="240" w:after="240"/>
              <w:rPr>
                <w:rFonts w:ascii="Sora" w:hAnsi="Sora" w:cs="Sora"/>
                <w:noProof/>
                <w:color w:val="262626" w:themeColor="text1" w:themeTint="D9"/>
                <w:lang w:val="en-US" w:eastAsia="en-GB"/>
              </w:rPr>
            </w:pPr>
          </w:p>
        </w:tc>
      </w:tr>
      <w:tr w:rsidR="00FC19DD" w:rsidRPr="00FC19DD" w14:paraId="4D1ADAF9" w14:textId="77777777" w:rsidTr="005425AD">
        <w:trPr>
          <w:trHeight w:val="1587"/>
        </w:trPr>
        <w:tc>
          <w:tcPr>
            <w:tcW w:w="5783" w:type="dxa"/>
          </w:tcPr>
          <w:p w14:paraId="6943EEF8" w14:textId="77777777" w:rsidR="00FC19DD" w:rsidRPr="00FC19DD" w:rsidRDefault="00FC19DD" w:rsidP="00FC19DD">
            <w:pPr>
              <w:numPr>
                <w:ilvl w:val="0"/>
                <w:numId w:val="2"/>
              </w:numPr>
              <w:spacing w:before="240" w:after="240"/>
              <w:rPr>
                <w:rFonts w:ascii="Sora" w:hAnsi="Sora" w:cs="Sora"/>
                <w:noProof/>
                <w:color w:val="262626" w:themeColor="text1" w:themeTint="D9"/>
                <w:lang w:eastAsia="en-GB"/>
              </w:rPr>
            </w:pPr>
            <w:r w:rsidRPr="00FC19DD">
              <w:rPr>
                <w:rFonts w:ascii="Sora" w:hAnsi="Sora" w:cs="Sora"/>
                <w:noProof/>
                <w:color w:val="262626" w:themeColor="text1" w:themeTint="D9"/>
                <w:lang w:eastAsia="en-GB"/>
              </w:rPr>
              <w:t>How T Levels fit in with apprenticeships, traineeships, internships, work experience, Kickstart and other programmes.</w:t>
            </w:r>
          </w:p>
        </w:tc>
        <w:tc>
          <w:tcPr>
            <w:tcW w:w="3600" w:type="dxa"/>
          </w:tcPr>
          <w:p w14:paraId="6E339CFF" w14:textId="77777777" w:rsidR="00FC19DD" w:rsidRPr="00FC19DD" w:rsidRDefault="00FC19DD" w:rsidP="00FC19DD">
            <w:pPr>
              <w:spacing w:before="240" w:after="240"/>
              <w:ind w:left="3"/>
              <w:rPr>
                <w:rFonts w:ascii="Sora" w:hAnsi="Sora" w:cs="Sora"/>
                <w:noProof/>
                <w:color w:val="262626" w:themeColor="text1" w:themeTint="D9"/>
                <w:lang w:val="en-US" w:eastAsia="en-GB"/>
              </w:rPr>
            </w:pPr>
          </w:p>
        </w:tc>
      </w:tr>
      <w:tr w:rsidR="00FC19DD" w:rsidRPr="00FC19DD" w14:paraId="6660904A" w14:textId="77777777" w:rsidTr="005425AD">
        <w:trPr>
          <w:trHeight w:val="1587"/>
        </w:trPr>
        <w:tc>
          <w:tcPr>
            <w:tcW w:w="5783" w:type="dxa"/>
          </w:tcPr>
          <w:p w14:paraId="1A4F5182" w14:textId="77777777" w:rsidR="00FC19DD" w:rsidRPr="00FC19DD" w:rsidRDefault="00FC19DD" w:rsidP="00FC19DD">
            <w:pPr>
              <w:numPr>
                <w:ilvl w:val="0"/>
                <w:numId w:val="2"/>
              </w:numPr>
              <w:spacing w:before="240" w:after="240"/>
              <w:rPr>
                <w:rFonts w:ascii="Sora" w:hAnsi="Sora" w:cs="Sora"/>
                <w:noProof/>
                <w:color w:val="262626" w:themeColor="text1" w:themeTint="D9"/>
                <w:lang w:val="en-US" w:eastAsia="en-GB"/>
              </w:rPr>
            </w:pPr>
            <w:r w:rsidRPr="00FC19DD">
              <w:rPr>
                <w:rFonts w:ascii="Sora" w:hAnsi="Sora" w:cs="Sora"/>
                <w:noProof/>
                <w:color w:val="262626" w:themeColor="text1" w:themeTint="D9"/>
                <w:lang w:eastAsia="en-GB"/>
              </w:rPr>
              <w:t>How getting involved in T Levels can help employers to recruit young people with the skills and attributes they need.</w:t>
            </w:r>
          </w:p>
        </w:tc>
        <w:tc>
          <w:tcPr>
            <w:tcW w:w="3600" w:type="dxa"/>
          </w:tcPr>
          <w:p w14:paraId="6FF6B3E7" w14:textId="77777777" w:rsidR="00FC19DD" w:rsidRPr="00FC19DD" w:rsidRDefault="00FC19DD" w:rsidP="00FC19DD">
            <w:pPr>
              <w:spacing w:before="240" w:after="240"/>
              <w:ind w:left="3"/>
              <w:rPr>
                <w:rFonts w:ascii="Sora" w:hAnsi="Sora" w:cs="Sora"/>
                <w:noProof/>
                <w:color w:val="262626" w:themeColor="text1" w:themeTint="D9"/>
                <w:lang w:val="en-US" w:eastAsia="en-GB"/>
              </w:rPr>
            </w:pPr>
          </w:p>
        </w:tc>
      </w:tr>
      <w:tr w:rsidR="00FC19DD" w:rsidRPr="00FC19DD" w14:paraId="3D04FEBA" w14:textId="77777777" w:rsidTr="005425AD">
        <w:trPr>
          <w:trHeight w:val="1587"/>
        </w:trPr>
        <w:tc>
          <w:tcPr>
            <w:tcW w:w="5783" w:type="dxa"/>
          </w:tcPr>
          <w:p w14:paraId="218C4BF7" w14:textId="77777777" w:rsidR="00FC19DD" w:rsidRPr="00FC19DD" w:rsidRDefault="00FC19DD" w:rsidP="00FC19DD">
            <w:pPr>
              <w:numPr>
                <w:ilvl w:val="0"/>
                <w:numId w:val="2"/>
              </w:numPr>
              <w:spacing w:before="240" w:after="240"/>
              <w:rPr>
                <w:rFonts w:ascii="Sora" w:hAnsi="Sora" w:cs="Sora"/>
                <w:noProof/>
                <w:color w:val="262626" w:themeColor="text1" w:themeTint="D9"/>
                <w:lang w:val="en-US" w:eastAsia="en-GB"/>
              </w:rPr>
            </w:pPr>
            <w:r w:rsidRPr="00FC19DD">
              <w:rPr>
                <w:rFonts w:ascii="Sora" w:hAnsi="Sora" w:cs="Sora"/>
                <w:noProof/>
                <w:color w:val="262626" w:themeColor="text1" w:themeTint="D9"/>
                <w:lang w:val="en-US" w:eastAsia="en-GB"/>
              </w:rPr>
              <w:t>What barriers might stop employers from getting involved in T Levels, and how to overcome them.</w:t>
            </w:r>
          </w:p>
        </w:tc>
        <w:tc>
          <w:tcPr>
            <w:tcW w:w="3600" w:type="dxa"/>
          </w:tcPr>
          <w:p w14:paraId="1E4AF77B" w14:textId="77777777" w:rsidR="00FC19DD" w:rsidRPr="00FC19DD" w:rsidRDefault="00FC19DD" w:rsidP="00FC19DD">
            <w:pPr>
              <w:spacing w:before="240" w:after="240"/>
              <w:ind w:left="3"/>
              <w:rPr>
                <w:rFonts w:ascii="Sora" w:hAnsi="Sora" w:cs="Sora"/>
                <w:noProof/>
                <w:color w:val="262626" w:themeColor="text1" w:themeTint="D9"/>
                <w:lang w:val="en-US" w:eastAsia="en-GB"/>
              </w:rPr>
            </w:pPr>
          </w:p>
        </w:tc>
      </w:tr>
    </w:tbl>
    <w:p w14:paraId="03AD05A2" w14:textId="77777777" w:rsidR="00FC19DD" w:rsidRPr="00FC19DD" w:rsidRDefault="00FC19DD" w:rsidP="00FC19DD">
      <w:pPr>
        <w:spacing w:before="120" w:line="192" w:lineRule="auto"/>
        <w:outlineLvl w:val="0"/>
        <w:rPr>
          <w:rFonts w:ascii="Sora" w:hAnsi="Sora" w:cs="Sora"/>
          <w:b/>
          <w:bCs/>
          <w:i/>
          <w:iCs/>
          <w:caps/>
          <w:noProof/>
          <w:color w:val="000000" w:themeColor="text1"/>
          <w:sz w:val="28"/>
          <w:lang w:eastAsia="en-GB"/>
        </w:rPr>
      </w:pPr>
    </w:p>
    <w:p w14:paraId="1FBDC616" w14:textId="77777777" w:rsidR="00FC19DD" w:rsidRPr="00FC19DD" w:rsidRDefault="00FC19DD" w:rsidP="00FC19DD">
      <w:pPr>
        <w:spacing w:before="120"/>
        <w:rPr>
          <w:rFonts w:ascii="Sora" w:hAnsi="Sora" w:cs="Sora"/>
          <w:b/>
          <w:bCs/>
          <w:i/>
          <w:iCs/>
          <w:caps/>
          <w:noProof/>
          <w:color w:val="262626" w:themeColor="text1" w:themeTint="D9"/>
          <w:sz w:val="26"/>
          <w:szCs w:val="32"/>
          <w:lang w:val="en-US" w:eastAsia="en-GB"/>
        </w:rPr>
      </w:pPr>
      <w:r w:rsidRPr="00FC19DD">
        <w:rPr>
          <w:rFonts w:ascii="Sora" w:hAnsi="Sora" w:cs="Sora"/>
          <w:noProof/>
          <w:color w:val="262626" w:themeColor="text1" w:themeTint="D9"/>
          <w:lang w:val="en-US" w:eastAsia="en-GB"/>
        </w:rPr>
        <w:br w:type="page"/>
      </w:r>
    </w:p>
    <w:p w14:paraId="4E64F03D" w14:textId="77777777" w:rsidR="00FC19DD" w:rsidRPr="00FC19DD" w:rsidRDefault="00FC19DD" w:rsidP="00FC19DD">
      <w:pPr>
        <w:numPr>
          <w:ilvl w:val="0"/>
          <w:numId w:val="5"/>
        </w:numPr>
        <w:spacing w:before="120" w:line="192" w:lineRule="auto"/>
        <w:outlineLvl w:val="1"/>
        <w:rPr>
          <w:rFonts w:ascii="Poppins" w:hAnsi="Poppins" w:cs="Poppins"/>
          <w:b/>
          <w:bCs/>
          <w:iCs/>
          <w:caps/>
          <w:noProof/>
          <w:color w:val="262626" w:themeColor="text1" w:themeTint="D9"/>
          <w:sz w:val="28"/>
          <w:szCs w:val="32"/>
          <w:lang w:eastAsia="en-GB"/>
        </w:rPr>
      </w:pPr>
      <w:bookmarkStart w:id="2" w:name="_Dealing_with_objections"/>
      <w:bookmarkEnd w:id="2"/>
      <w:r w:rsidRPr="00FC19DD">
        <w:rPr>
          <w:rFonts w:ascii="Poppins" w:hAnsi="Poppins" w:cs="Poppins"/>
          <w:b/>
          <w:bCs/>
          <w:iCs/>
          <w:caps/>
          <w:noProof/>
          <w:color w:val="262626" w:themeColor="text1" w:themeTint="D9"/>
          <w:sz w:val="28"/>
          <w:szCs w:val="32"/>
          <w:lang w:eastAsia="en-GB"/>
        </w:rPr>
        <w:lastRenderedPageBreak/>
        <w:t xml:space="preserve">Dealing with objections from employers </w:t>
      </w:r>
    </w:p>
    <w:tbl>
      <w:tblPr>
        <w:tblStyle w:val="TableGrid"/>
        <w:tblW w:w="9498" w:type="dxa"/>
        <w:tblInd w:w="-5" w:type="dxa"/>
        <w:tblLook w:val="04A0" w:firstRow="1" w:lastRow="0" w:firstColumn="1" w:lastColumn="0" w:noHBand="0" w:noVBand="1"/>
      </w:tblPr>
      <w:tblGrid>
        <w:gridCol w:w="2694"/>
        <w:gridCol w:w="6804"/>
      </w:tblGrid>
      <w:tr w:rsidR="00FC19DD" w:rsidRPr="00FC19DD" w14:paraId="0B9B3673" w14:textId="77777777" w:rsidTr="005425AD">
        <w:trPr>
          <w:cantSplit/>
          <w:trHeight w:val="794"/>
          <w:tblHeader/>
        </w:trPr>
        <w:tc>
          <w:tcPr>
            <w:tcW w:w="2694" w:type="dxa"/>
            <w:shd w:val="clear" w:color="auto" w:fill="765AB0"/>
            <w:vAlign w:val="center"/>
          </w:tcPr>
          <w:p w14:paraId="1161417C" w14:textId="77777777" w:rsidR="00FC19DD" w:rsidRPr="00FC19DD" w:rsidRDefault="00FC19DD" w:rsidP="00FC19DD">
            <w:pPr>
              <w:outlineLvl w:val="2"/>
              <w:rPr>
                <w:rFonts w:ascii="Sora" w:hAnsi="Sora" w:cs="Sora"/>
                <w:b/>
                <w:bCs/>
                <w:iCs/>
                <w:caps/>
                <w:noProof/>
                <w:color w:val="FFFFFF" w:themeColor="background1"/>
                <w:lang w:val="en-US" w:eastAsia="en-GB"/>
              </w:rPr>
            </w:pPr>
            <w:r w:rsidRPr="00FC19DD">
              <w:rPr>
                <w:rFonts w:ascii="Sora" w:hAnsi="Sora" w:cs="Sora"/>
                <w:b/>
                <w:bCs/>
                <w:iCs/>
                <w:noProof/>
                <w:color w:val="FFFFFF" w:themeColor="background1"/>
                <w:lang w:val="en-US" w:eastAsia="en-GB"/>
              </w:rPr>
              <w:t>Objections</w:t>
            </w:r>
          </w:p>
        </w:tc>
        <w:tc>
          <w:tcPr>
            <w:tcW w:w="6804" w:type="dxa"/>
            <w:shd w:val="clear" w:color="auto" w:fill="765AB0"/>
            <w:vAlign w:val="center"/>
          </w:tcPr>
          <w:p w14:paraId="5B19E60C" w14:textId="77777777" w:rsidR="00FC19DD" w:rsidRPr="00FC19DD" w:rsidRDefault="00FC19DD" w:rsidP="00FC19DD">
            <w:pPr>
              <w:outlineLvl w:val="2"/>
              <w:rPr>
                <w:rFonts w:ascii="Sora" w:hAnsi="Sora" w:cs="Sora"/>
                <w:b/>
                <w:bCs/>
                <w:iCs/>
                <w:caps/>
                <w:noProof/>
                <w:color w:val="FFFFFF" w:themeColor="background1"/>
                <w:lang w:val="en-US" w:eastAsia="en-GB"/>
              </w:rPr>
            </w:pPr>
            <w:r w:rsidRPr="00FC19DD">
              <w:rPr>
                <w:rFonts w:ascii="Sora" w:hAnsi="Sora" w:cs="Sora"/>
                <w:b/>
                <w:bCs/>
                <w:iCs/>
                <w:noProof/>
                <w:color w:val="FFFFFF" w:themeColor="background1"/>
                <w:lang w:val="en-US" w:eastAsia="en-GB"/>
              </w:rPr>
              <w:t>Response</w:t>
            </w:r>
          </w:p>
        </w:tc>
      </w:tr>
      <w:tr w:rsidR="00FC19DD" w:rsidRPr="00FC19DD" w14:paraId="0006936B" w14:textId="77777777" w:rsidTr="005425AD">
        <w:trPr>
          <w:cantSplit/>
          <w:trHeight w:val="1417"/>
        </w:trPr>
        <w:tc>
          <w:tcPr>
            <w:tcW w:w="2694" w:type="dxa"/>
          </w:tcPr>
          <w:p w14:paraId="5C849651" w14:textId="77777777" w:rsidR="00FC19DD" w:rsidRPr="00FC19DD" w:rsidRDefault="00FC19DD" w:rsidP="00FC19DD">
            <w:pPr>
              <w:widowControl w:val="0"/>
              <w:numPr>
                <w:ilvl w:val="0"/>
                <w:numId w:val="4"/>
              </w:numPr>
              <w:autoSpaceDE w:val="0"/>
              <w:autoSpaceDN w:val="0"/>
              <w:spacing w:before="168" w:line="261" w:lineRule="auto"/>
              <w:ind w:right="-5"/>
              <w:contextualSpacing/>
              <w:rPr>
                <w:rFonts w:ascii="Sora" w:eastAsia="Arial" w:hAnsi="Sora" w:cs="Sora"/>
                <w:lang w:val="en-US"/>
              </w:rPr>
            </w:pPr>
            <w:r w:rsidRPr="00FC19DD">
              <w:rPr>
                <w:rFonts w:ascii="Sora" w:eastAsia="Arial" w:hAnsi="Sora" w:cs="Sora"/>
                <w:lang w:val="en-US"/>
              </w:rPr>
              <w:t>We don’t have enough experienced staff to support students on industry placements.</w:t>
            </w:r>
          </w:p>
        </w:tc>
        <w:tc>
          <w:tcPr>
            <w:tcW w:w="6804" w:type="dxa"/>
          </w:tcPr>
          <w:p w14:paraId="658798A2" w14:textId="77777777" w:rsidR="00FC19DD" w:rsidRPr="00FC19DD" w:rsidRDefault="00FC19DD" w:rsidP="00FC19DD">
            <w:pPr>
              <w:widowControl w:val="0"/>
              <w:autoSpaceDE w:val="0"/>
              <w:autoSpaceDN w:val="0"/>
              <w:spacing w:before="168" w:line="261" w:lineRule="auto"/>
              <w:ind w:right="-5"/>
              <w:rPr>
                <w:rFonts w:ascii="Sora" w:eastAsia="Arial" w:hAnsi="Sora" w:cs="Sora"/>
                <w:lang w:val="en-US"/>
              </w:rPr>
            </w:pPr>
            <w:r w:rsidRPr="00FC19DD">
              <w:rPr>
                <w:rFonts w:ascii="Sora" w:eastAsia="Arial" w:hAnsi="Sora" w:cs="Sora"/>
                <w:lang w:val="en-US"/>
              </w:rPr>
              <w:t xml:space="preserve">Students do need supervising while on an industry placement, but this can be an opportunity for your staff to develop supervisory skills and experience, which makes them more valuable to you as employees. </w:t>
            </w:r>
          </w:p>
          <w:p w14:paraId="1DF77EAE" w14:textId="77777777" w:rsidR="00FC19DD" w:rsidRPr="00FC19DD" w:rsidRDefault="00FC19DD" w:rsidP="00FC19DD">
            <w:pPr>
              <w:widowControl w:val="0"/>
              <w:autoSpaceDE w:val="0"/>
              <w:autoSpaceDN w:val="0"/>
              <w:spacing w:before="168" w:line="261" w:lineRule="auto"/>
              <w:ind w:right="-5"/>
              <w:rPr>
                <w:rFonts w:ascii="Sora" w:eastAsia="Arial" w:hAnsi="Sora" w:cs="Sora"/>
                <w:spacing w:val="-1"/>
                <w:lang w:val="en-US"/>
              </w:rPr>
            </w:pPr>
            <w:r w:rsidRPr="00FC19DD">
              <w:rPr>
                <w:rFonts w:ascii="Sora" w:eastAsia="Arial" w:hAnsi="Sora" w:cs="Sora"/>
                <w:lang w:val="en-US"/>
              </w:rPr>
              <w:t xml:space="preserve">Mentoring is another opportunity for your staff to develop skills and expertise without taking on supervisory responsibilities. Students on industry placements benefit from someone else apart from their supervisor giving them support from time to time. Mentoring is a good way for </w:t>
            </w:r>
            <w:r w:rsidRPr="00FC19DD">
              <w:rPr>
                <w:rFonts w:ascii="Sora" w:eastAsia="Arial" w:hAnsi="Sora" w:cs="Sora"/>
                <w:spacing w:val="-1"/>
                <w:lang w:val="en-US"/>
              </w:rPr>
              <w:t xml:space="preserve">staff who may want to progress to a supervisory role gaining valuable experience. </w:t>
            </w:r>
          </w:p>
          <w:p w14:paraId="3AC3AE68" w14:textId="77777777" w:rsidR="00FC19DD" w:rsidRPr="00FC19DD" w:rsidRDefault="00FC19DD" w:rsidP="00FC19DD">
            <w:pPr>
              <w:widowControl w:val="0"/>
              <w:autoSpaceDE w:val="0"/>
              <w:autoSpaceDN w:val="0"/>
              <w:spacing w:before="168" w:line="262" w:lineRule="auto"/>
              <w:ind w:right="-6"/>
              <w:rPr>
                <w:rFonts w:ascii="Sora" w:eastAsia="Arial" w:hAnsi="Sora" w:cs="Sora"/>
                <w:lang w:val="en-US"/>
              </w:rPr>
            </w:pPr>
            <w:r w:rsidRPr="00FC19DD">
              <w:rPr>
                <w:rFonts w:ascii="Sora" w:eastAsia="Arial" w:hAnsi="Sora" w:cs="Sora"/>
                <w:spacing w:val="-1"/>
                <w:lang w:val="en-US"/>
              </w:rPr>
              <w:t xml:space="preserve">If you have apprentices in the </w:t>
            </w:r>
            <w:proofErr w:type="spellStart"/>
            <w:r w:rsidRPr="00FC19DD">
              <w:rPr>
                <w:rFonts w:ascii="Sora" w:eastAsia="Arial" w:hAnsi="Sora" w:cs="Sora"/>
                <w:spacing w:val="-1"/>
                <w:lang w:val="en-US"/>
              </w:rPr>
              <w:t>organisation</w:t>
            </w:r>
            <w:proofErr w:type="spellEnd"/>
            <w:r w:rsidRPr="00FC19DD">
              <w:rPr>
                <w:rFonts w:ascii="Sora" w:eastAsia="Arial" w:hAnsi="Sora" w:cs="Sora"/>
                <w:spacing w:val="-1"/>
                <w:lang w:val="en-US"/>
              </w:rPr>
              <w:t>, they could also help to support industry placement students given that they are likely to have shared experiences.</w:t>
            </w:r>
          </w:p>
        </w:tc>
      </w:tr>
      <w:tr w:rsidR="00FC19DD" w:rsidRPr="00FC19DD" w14:paraId="5B757DB8" w14:textId="77777777" w:rsidTr="005425AD">
        <w:trPr>
          <w:cantSplit/>
          <w:trHeight w:val="1417"/>
        </w:trPr>
        <w:tc>
          <w:tcPr>
            <w:tcW w:w="2694" w:type="dxa"/>
          </w:tcPr>
          <w:p w14:paraId="175215DD" w14:textId="77777777" w:rsidR="00FC19DD" w:rsidRPr="00FC19DD" w:rsidRDefault="00FC19DD" w:rsidP="00FC19DD">
            <w:pPr>
              <w:widowControl w:val="0"/>
              <w:numPr>
                <w:ilvl w:val="0"/>
                <w:numId w:val="4"/>
              </w:numPr>
              <w:autoSpaceDE w:val="0"/>
              <w:autoSpaceDN w:val="0"/>
              <w:spacing w:before="168" w:line="261" w:lineRule="auto"/>
              <w:ind w:right="-5"/>
              <w:contextualSpacing/>
              <w:rPr>
                <w:rFonts w:ascii="Sora" w:eastAsia="Arial" w:hAnsi="Sora" w:cs="Sora"/>
                <w:lang w:val="en-US"/>
              </w:rPr>
            </w:pPr>
            <w:r w:rsidRPr="00FC19DD">
              <w:rPr>
                <w:rFonts w:ascii="Sora" w:eastAsia="Arial" w:hAnsi="Sora" w:cs="Sora"/>
                <w:lang w:val="en-US"/>
              </w:rPr>
              <w:t xml:space="preserve">We don’t have time to get involved </w:t>
            </w:r>
            <w:proofErr w:type="gramStart"/>
            <w:r w:rsidRPr="00FC19DD">
              <w:rPr>
                <w:rFonts w:ascii="Sora" w:eastAsia="Arial" w:hAnsi="Sora" w:cs="Sora"/>
                <w:lang w:val="en-US"/>
              </w:rPr>
              <w:t>at the moment</w:t>
            </w:r>
            <w:proofErr w:type="gramEnd"/>
            <w:r w:rsidRPr="00FC19DD">
              <w:rPr>
                <w:rFonts w:ascii="Sora" w:eastAsia="Arial" w:hAnsi="Sora" w:cs="Sora"/>
                <w:lang w:val="en-US"/>
              </w:rPr>
              <w:t>.</w:t>
            </w:r>
          </w:p>
        </w:tc>
        <w:tc>
          <w:tcPr>
            <w:tcW w:w="6804" w:type="dxa"/>
          </w:tcPr>
          <w:p w14:paraId="431D7649" w14:textId="77777777" w:rsidR="00FC19DD" w:rsidRPr="00FC19DD" w:rsidRDefault="00FC19DD" w:rsidP="00FC19DD">
            <w:pPr>
              <w:widowControl w:val="0"/>
              <w:autoSpaceDE w:val="0"/>
              <w:autoSpaceDN w:val="0"/>
              <w:spacing w:before="168" w:line="261" w:lineRule="auto"/>
              <w:ind w:right="-5"/>
              <w:rPr>
                <w:rFonts w:ascii="Sora" w:eastAsia="Arial" w:hAnsi="Sora" w:cs="Sora"/>
                <w:lang w:val="en-US"/>
              </w:rPr>
            </w:pPr>
            <w:r w:rsidRPr="00FC19DD">
              <w:rPr>
                <w:rFonts w:ascii="Sora" w:eastAsia="Arial" w:hAnsi="Sora" w:cs="Sora"/>
                <w:lang w:val="en-US"/>
              </w:rPr>
              <w:t xml:space="preserve">If it’s something you might be able to do </w:t>
            </w:r>
            <w:proofErr w:type="gramStart"/>
            <w:r w:rsidRPr="00FC19DD">
              <w:rPr>
                <w:rFonts w:ascii="Sora" w:eastAsia="Arial" w:hAnsi="Sora" w:cs="Sora"/>
                <w:lang w:val="en-US"/>
              </w:rPr>
              <w:t>later on</w:t>
            </w:r>
            <w:proofErr w:type="gramEnd"/>
            <w:r w:rsidRPr="00FC19DD">
              <w:rPr>
                <w:rFonts w:ascii="Sora" w:eastAsia="Arial" w:hAnsi="Sora" w:cs="Sora"/>
                <w:lang w:val="en-US"/>
              </w:rPr>
              <w:t xml:space="preserve">, it could be advantageous to start thinking about it now so you’re ahead of the game when the time is right. </w:t>
            </w:r>
          </w:p>
          <w:p w14:paraId="5C4F9C16" w14:textId="77777777" w:rsidR="00FC19DD" w:rsidRPr="00FC19DD" w:rsidRDefault="00FC19DD" w:rsidP="00FC19DD">
            <w:pPr>
              <w:widowControl w:val="0"/>
              <w:autoSpaceDE w:val="0"/>
              <w:autoSpaceDN w:val="0"/>
              <w:spacing w:before="168" w:line="261" w:lineRule="auto"/>
              <w:ind w:right="-5"/>
              <w:rPr>
                <w:rFonts w:ascii="Sora" w:eastAsia="Arial" w:hAnsi="Sora" w:cs="Sora"/>
                <w:lang w:val="en-US"/>
              </w:rPr>
            </w:pPr>
            <w:r w:rsidRPr="00FC19DD">
              <w:rPr>
                <w:rFonts w:ascii="Sora" w:eastAsia="Arial" w:hAnsi="Sora" w:cs="Sora"/>
                <w:lang w:val="en-US"/>
              </w:rPr>
              <w:t xml:space="preserve">We could help you think about the sort of roles or projects in the business that might be suitable for an industry placement; for example, it would be great if we could talk to one or two of your staff who are interested in giving young people a chance, so they can start to work out what it would mean for you to offer them the opportunity of a placement with you. </w:t>
            </w:r>
          </w:p>
          <w:p w14:paraId="7523F040" w14:textId="77777777" w:rsidR="00FC19DD" w:rsidRPr="00FC19DD" w:rsidRDefault="00FC19DD" w:rsidP="00FC19DD">
            <w:pPr>
              <w:widowControl w:val="0"/>
              <w:autoSpaceDE w:val="0"/>
              <w:autoSpaceDN w:val="0"/>
              <w:spacing w:before="168" w:line="261" w:lineRule="auto"/>
              <w:ind w:right="-5"/>
              <w:rPr>
                <w:rFonts w:ascii="Sora" w:eastAsia="Arial" w:hAnsi="Sora" w:cs="Sora"/>
                <w:lang w:val="en-US"/>
              </w:rPr>
            </w:pPr>
            <w:r w:rsidRPr="00FC19DD">
              <w:rPr>
                <w:rFonts w:ascii="Sora" w:eastAsia="Arial" w:hAnsi="Sora" w:cs="Sora"/>
                <w:lang w:val="en-US"/>
              </w:rPr>
              <w:t xml:space="preserve">Plus, there are other ways for you to get involved as well, which might be more feasible just now – would anyone in the </w:t>
            </w:r>
            <w:proofErr w:type="spellStart"/>
            <w:r w:rsidRPr="00FC19DD">
              <w:rPr>
                <w:rFonts w:ascii="Sora" w:eastAsia="Arial" w:hAnsi="Sora" w:cs="Sora"/>
                <w:lang w:val="en-US"/>
              </w:rPr>
              <w:t>organisation</w:t>
            </w:r>
            <w:proofErr w:type="spellEnd"/>
            <w:r w:rsidRPr="00FC19DD">
              <w:rPr>
                <w:rFonts w:ascii="Sora" w:eastAsia="Arial" w:hAnsi="Sora" w:cs="Sora"/>
                <w:lang w:val="en-US"/>
              </w:rPr>
              <w:t xml:space="preserve"> be interested in giving a talk to some of our students about what it’s like to work in the industry?</w:t>
            </w:r>
          </w:p>
          <w:p w14:paraId="7EC4B58A" w14:textId="77777777" w:rsidR="00FC19DD" w:rsidRPr="00FC19DD" w:rsidRDefault="00FC19DD" w:rsidP="00FC19DD">
            <w:pPr>
              <w:widowControl w:val="0"/>
              <w:autoSpaceDE w:val="0"/>
              <w:autoSpaceDN w:val="0"/>
              <w:spacing w:before="195" w:line="262" w:lineRule="auto"/>
              <w:rPr>
                <w:rFonts w:ascii="Sora" w:hAnsi="Sora" w:cs="Sora"/>
                <w:noProof/>
                <w:color w:val="262626" w:themeColor="text1" w:themeTint="D9"/>
                <w:lang w:val="en-US" w:eastAsia="en-GB"/>
              </w:rPr>
            </w:pPr>
            <w:r w:rsidRPr="00FC19DD">
              <w:rPr>
                <w:rFonts w:ascii="Sora" w:eastAsia="Arial" w:hAnsi="Sora" w:cs="Sora"/>
                <w:lang w:val="en-US"/>
              </w:rPr>
              <w:t xml:space="preserve">By the way, we’re used to working with businesses around peaks and troughs in work and are good at being flexible about timing. For example, if it helps to have a student in at busy times, we can </w:t>
            </w:r>
            <w:proofErr w:type="spellStart"/>
            <w:r w:rsidRPr="00FC19DD">
              <w:rPr>
                <w:rFonts w:ascii="Sora" w:eastAsia="Arial" w:hAnsi="Sora" w:cs="Sora"/>
                <w:lang w:val="en-US"/>
              </w:rPr>
              <w:t>organise</w:t>
            </w:r>
            <w:proofErr w:type="spellEnd"/>
            <w:r w:rsidRPr="00FC19DD">
              <w:rPr>
                <w:rFonts w:ascii="Sora" w:eastAsia="Arial" w:hAnsi="Sora" w:cs="Sora"/>
                <w:lang w:val="en-US"/>
              </w:rPr>
              <w:t xml:space="preserve"> that, but equally they can be available at less busy time if that’s better for you.</w:t>
            </w:r>
          </w:p>
        </w:tc>
      </w:tr>
      <w:tr w:rsidR="00FC19DD" w:rsidRPr="00FC19DD" w14:paraId="7CFBE29D" w14:textId="77777777" w:rsidTr="005425AD">
        <w:trPr>
          <w:cantSplit/>
          <w:trHeight w:val="770"/>
        </w:trPr>
        <w:tc>
          <w:tcPr>
            <w:tcW w:w="2694" w:type="dxa"/>
          </w:tcPr>
          <w:p w14:paraId="4564EF29" w14:textId="77777777" w:rsidR="00FC19DD" w:rsidRPr="00FC19DD" w:rsidRDefault="00FC19DD" w:rsidP="00FC19DD">
            <w:pPr>
              <w:widowControl w:val="0"/>
              <w:numPr>
                <w:ilvl w:val="0"/>
                <w:numId w:val="4"/>
              </w:numPr>
              <w:autoSpaceDE w:val="0"/>
              <w:autoSpaceDN w:val="0"/>
              <w:spacing w:before="168" w:line="261" w:lineRule="auto"/>
              <w:ind w:right="-5"/>
              <w:contextualSpacing/>
              <w:rPr>
                <w:rFonts w:ascii="Sora" w:eastAsia="Arial" w:hAnsi="Sora" w:cs="Sora"/>
                <w:lang w:val="en-US"/>
              </w:rPr>
            </w:pPr>
            <w:r w:rsidRPr="00FC19DD">
              <w:rPr>
                <w:rFonts w:ascii="Sora" w:eastAsia="Arial" w:hAnsi="Sora" w:cs="Sora"/>
                <w:lang w:val="en-US"/>
              </w:rPr>
              <w:lastRenderedPageBreak/>
              <w:t>We can’t take a student on during the pandemic.</w:t>
            </w:r>
          </w:p>
          <w:p w14:paraId="4C37C046" w14:textId="77777777" w:rsidR="00FC19DD" w:rsidRPr="00FC19DD" w:rsidRDefault="00FC19DD" w:rsidP="00FC19DD">
            <w:pPr>
              <w:rPr>
                <w:rFonts w:ascii="Sora" w:hAnsi="Sora" w:cs="Sora"/>
                <w:noProof/>
                <w:color w:val="262626" w:themeColor="text1" w:themeTint="D9"/>
                <w:lang w:val="en-US"/>
              </w:rPr>
            </w:pPr>
          </w:p>
          <w:p w14:paraId="11D8291B" w14:textId="77777777" w:rsidR="00FC19DD" w:rsidRPr="00FC19DD" w:rsidRDefault="00FC19DD" w:rsidP="00FC19DD">
            <w:pPr>
              <w:rPr>
                <w:rFonts w:ascii="Sora" w:hAnsi="Sora" w:cs="Sora"/>
                <w:noProof/>
                <w:color w:val="262626" w:themeColor="text1" w:themeTint="D9"/>
                <w:lang w:val="en-US"/>
              </w:rPr>
            </w:pPr>
          </w:p>
          <w:p w14:paraId="2CADA4F6" w14:textId="77777777" w:rsidR="00FC19DD" w:rsidRPr="00FC19DD" w:rsidRDefault="00FC19DD" w:rsidP="00FC19DD">
            <w:pPr>
              <w:rPr>
                <w:rFonts w:ascii="Sora" w:eastAsia="Arial" w:hAnsi="Sora" w:cs="Sora"/>
                <w:lang w:val="en-US"/>
              </w:rPr>
            </w:pPr>
          </w:p>
          <w:p w14:paraId="1C9E3508" w14:textId="77777777" w:rsidR="00FC19DD" w:rsidRPr="00FC19DD" w:rsidRDefault="00FC19DD" w:rsidP="00FC19DD">
            <w:pPr>
              <w:tabs>
                <w:tab w:val="left" w:pos="1724"/>
              </w:tabs>
              <w:rPr>
                <w:rFonts w:ascii="Sora" w:hAnsi="Sora" w:cs="Sora"/>
                <w:noProof/>
                <w:color w:val="262626" w:themeColor="text1" w:themeTint="D9"/>
                <w:lang w:val="en-US"/>
              </w:rPr>
            </w:pPr>
            <w:r w:rsidRPr="00FC19DD">
              <w:rPr>
                <w:rFonts w:ascii="Sora" w:hAnsi="Sora" w:cs="Sora"/>
                <w:noProof/>
                <w:color w:val="262626" w:themeColor="text1" w:themeTint="D9"/>
                <w:lang w:val="en-US"/>
              </w:rPr>
              <w:tab/>
            </w:r>
          </w:p>
        </w:tc>
        <w:tc>
          <w:tcPr>
            <w:tcW w:w="6804" w:type="dxa"/>
          </w:tcPr>
          <w:p w14:paraId="7C652834" w14:textId="77777777" w:rsidR="00FC19DD" w:rsidRPr="00FC19DD" w:rsidRDefault="00FC19DD" w:rsidP="00FC19DD">
            <w:pPr>
              <w:widowControl w:val="0"/>
              <w:autoSpaceDE w:val="0"/>
              <w:autoSpaceDN w:val="0"/>
              <w:spacing w:before="168" w:line="261" w:lineRule="auto"/>
              <w:ind w:right="-5"/>
              <w:rPr>
                <w:rFonts w:ascii="Sora" w:eastAsia="Arial" w:hAnsi="Sora" w:cs="Sora"/>
                <w:lang w:val="en-US"/>
              </w:rPr>
            </w:pPr>
            <w:r w:rsidRPr="00FC19DD">
              <w:rPr>
                <w:rFonts w:ascii="Sora" w:eastAsia="Arial" w:hAnsi="Sora" w:cs="Sora"/>
                <w:lang w:val="en-US"/>
              </w:rPr>
              <w:t>It’s quite true that things like social distancing and safe working practices may need to be considered for some time to come. However, it shouldn’t be more of a problem for industry placement students than for any other employee.</w:t>
            </w:r>
          </w:p>
          <w:p w14:paraId="4FC44ADA" w14:textId="77777777" w:rsidR="00FC19DD" w:rsidRPr="00FC19DD" w:rsidRDefault="00FC19DD" w:rsidP="00FC19DD">
            <w:pPr>
              <w:widowControl w:val="0"/>
              <w:autoSpaceDE w:val="0"/>
              <w:autoSpaceDN w:val="0"/>
              <w:spacing w:before="168" w:line="261" w:lineRule="auto"/>
              <w:ind w:right="-5"/>
              <w:rPr>
                <w:rFonts w:ascii="Sora" w:eastAsia="Arial" w:hAnsi="Sora" w:cs="Sora"/>
                <w:lang w:val="en-US"/>
              </w:rPr>
            </w:pPr>
            <w:r w:rsidRPr="00FC19DD">
              <w:rPr>
                <w:rFonts w:ascii="Sora" w:eastAsia="Arial" w:hAnsi="Sora" w:cs="Sora"/>
                <w:lang w:val="en-US"/>
              </w:rPr>
              <w:t>You’re obviously doing all the right things for staff to return to the workplace post-</w:t>
            </w:r>
            <w:proofErr w:type="spellStart"/>
            <w:r w:rsidRPr="00FC19DD">
              <w:rPr>
                <w:rFonts w:ascii="Sora" w:eastAsia="Arial" w:hAnsi="Sora" w:cs="Sora"/>
                <w:lang w:val="en-US"/>
              </w:rPr>
              <w:t>Covid</w:t>
            </w:r>
            <w:proofErr w:type="spellEnd"/>
            <w:r w:rsidRPr="00FC19DD">
              <w:rPr>
                <w:rFonts w:ascii="Sora" w:eastAsia="Arial" w:hAnsi="Sora" w:cs="Sora"/>
                <w:lang w:val="en-US"/>
              </w:rPr>
              <w:t xml:space="preserve"> and they are equally applicable to industry placement students as to everyone else. If students are required to work in </w:t>
            </w:r>
            <w:proofErr w:type="gramStart"/>
            <w:r w:rsidRPr="00FC19DD">
              <w:rPr>
                <w:rFonts w:ascii="Sora" w:eastAsia="Arial" w:hAnsi="Sora" w:cs="Sora"/>
                <w:lang w:val="en-US"/>
              </w:rPr>
              <w:t>close proximity</w:t>
            </w:r>
            <w:proofErr w:type="gramEnd"/>
            <w:r w:rsidRPr="00FC19DD">
              <w:rPr>
                <w:rFonts w:ascii="Sora" w:eastAsia="Arial" w:hAnsi="Sora" w:cs="Sora"/>
                <w:lang w:val="en-US"/>
              </w:rPr>
              <w:t xml:space="preserve"> with others, you can place them in fixed teams, paired with their supervisor, or put them on the same shift pattern.</w:t>
            </w:r>
          </w:p>
          <w:p w14:paraId="38785FB1" w14:textId="77777777" w:rsidR="00FC19DD" w:rsidRPr="00FC19DD" w:rsidRDefault="00FC19DD" w:rsidP="00FC19DD">
            <w:pPr>
              <w:widowControl w:val="0"/>
              <w:autoSpaceDE w:val="0"/>
              <w:autoSpaceDN w:val="0"/>
              <w:spacing w:before="168" w:line="261" w:lineRule="auto"/>
              <w:ind w:right="-5"/>
              <w:rPr>
                <w:rFonts w:ascii="Sora" w:hAnsi="Sora" w:cs="Sora"/>
                <w:noProof/>
                <w:color w:val="262626" w:themeColor="text1" w:themeTint="D9"/>
                <w:lang w:val="en-US" w:eastAsia="en-GB"/>
              </w:rPr>
            </w:pPr>
            <w:r w:rsidRPr="00FC19DD">
              <w:rPr>
                <w:rFonts w:ascii="Sora" w:hAnsi="Sora" w:cs="Sora"/>
                <w:noProof/>
                <w:color w:val="262626" w:themeColor="text1" w:themeTint="D9"/>
                <w:lang w:val="en-US" w:eastAsia="en-GB"/>
              </w:rPr>
              <w:t>Whatever is needed, we’ll work with you to make sure that students are properly safe and protected from risk, as are all your other employees.</w:t>
            </w:r>
          </w:p>
        </w:tc>
      </w:tr>
      <w:tr w:rsidR="00FC19DD" w:rsidRPr="00FC19DD" w14:paraId="1C542931" w14:textId="77777777" w:rsidTr="005425AD">
        <w:trPr>
          <w:cantSplit/>
          <w:trHeight w:val="1417"/>
        </w:trPr>
        <w:tc>
          <w:tcPr>
            <w:tcW w:w="2694" w:type="dxa"/>
          </w:tcPr>
          <w:p w14:paraId="66318EA7" w14:textId="77777777" w:rsidR="00FC19DD" w:rsidRPr="00FC19DD" w:rsidRDefault="00FC19DD" w:rsidP="00FC19DD">
            <w:pPr>
              <w:widowControl w:val="0"/>
              <w:numPr>
                <w:ilvl w:val="0"/>
                <w:numId w:val="4"/>
              </w:numPr>
              <w:autoSpaceDE w:val="0"/>
              <w:autoSpaceDN w:val="0"/>
              <w:spacing w:before="168" w:line="261" w:lineRule="auto"/>
              <w:ind w:right="-5"/>
              <w:contextualSpacing/>
              <w:rPr>
                <w:rFonts w:ascii="Sora" w:hAnsi="Sora" w:cs="Sora"/>
                <w:noProof/>
                <w:color w:val="262626" w:themeColor="text1" w:themeTint="D9"/>
                <w:lang w:val="en-US" w:eastAsia="en-GB"/>
              </w:rPr>
            </w:pPr>
            <w:r w:rsidRPr="00FC19DD">
              <w:rPr>
                <w:rFonts w:ascii="Sora" w:hAnsi="Sora" w:cs="Sora"/>
                <w:noProof/>
                <w:color w:val="262626" w:themeColor="text1" w:themeTint="D9"/>
                <w:lang w:val="en-US" w:eastAsia="en-GB"/>
              </w:rPr>
              <w:t xml:space="preserve">We don’t have </w:t>
            </w:r>
            <w:r w:rsidRPr="00FC19DD">
              <w:rPr>
                <w:rFonts w:ascii="Sora" w:eastAsia="Arial" w:hAnsi="Sora" w:cs="Sora"/>
                <w:lang w:val="en-US"/>
              </w:rPr>
              <w:t>enough</w:t>
            </w:r>
            <w:r w:rsidRPr="00FC19DD">
              <w:rPr>
                <w:rFonts w:ascii="Sora" w:hAnsi="Sora" w:cs="Sora"/>
                <w:noProof/>
                <w:color w:val="262626" w:themeColor="text1" w:themeTint="D9"/>
                <w:lang w:val="en-US" w:eastAsia="en-GB"/>
              </w:rPr>
              <w:t xml:space="preserve"> work for students to do. </w:t>
            </w:r>
          </w:p>
        </w:tc>
        <w:tc>
          <w:tcPr>
            <w:tcW w:w="6804" w:type="dxa"/>
          </w:tcPr>
          <w:p w14:paraId="163A92FC" w14:textId="77777777" w:rsidR="00FC19DD" w:rsidRPr="00FC19DD" w:rsidRDefault="00FC19DD" w:rsidP="00FC19DD">
            <w:pPr>
              <w:widowControl w:val="0"/>
              <w:autoSpaceDE w:val="0"/>
              <w:autoSpaceDN w:val="0"/>
              <w:spacing w:before="168" w:line="261" w:lineRule="auto"/>
              <w:ind w:right="-5"/>
              <w:rPr>
                <w:rFonts w:ascii="Sora" w:hAnsi="Sora" w:cs="Sora"/>
                <w:noProof/>
                <w:color w:val="262626" w:themeColor="text1" w:themeTint="D9"/>
                <w:lang w:val="en-US" w:eastAsia="en-GB"/>
              </w:rPr>
            </w:pPr>
            <w:r w:rsidRPr="00FC19DD">
              <w:rPr>
                <w:rFonts w:ascii="Sora" w:hAnsi="Sora" w:cs="Sora"/>
                <w:noProof/>
                <w:color w:val="262626" w:themeColor="text1" w:themeTint="D9"/>
                <w:lang w:val="en-US" w:eastAsia="en-GB"/>
              </w:rPr>
              <w:t xml:space="preserve">We’ve been speaking to quite a few organisations who’ve had to put activities and projects on hold during the pandemic. That might be something students can do for you. They could be the ideal opportunity to get some of those projects underway again. </w:t>
            </w:r>
          </w:p>
          <w:p w14:paraId="602579C1" w14:textId="77777777" w:rsidR="00FC19DD" w:rsidRPr="00FC19DD" w:rsidRDefault="00FC19DD" w:rsidP="00FC19DD">
            <w:pPr>
              <w:widowControl w:val="0"/>
              <w:autoSpaceDE w:val="0"/>
              <w:autoSpaceDN w:val="0"/>
              <w:spacing w:before="168" w:line="261" w:lineRule="auto"/>
              <w:ind w:right="-5"/>
              <w:rPr>
                <w:rFonts w:ascii="Sora" w:hAnsi="Sora" w:cs="Sora"/>
                <w:noProof/>
                <w:color w:val="262626" w:themeColor="text1" w:themeTint="D9"/>
                <w:lang w:val="en-US" w:eastAsia="en-GB"/>
              </w:rPr>
            </w:pPr>
            <w:r w:rsidRPr="00FC19DD">
              <w:rPr>
                <w:rFonts w:ascii="Sora" w:eastAsia="Arial" w:hAnsi="Sora" w:cs="Sora"/>
                <w:spacing w:val="-1"/>
                <w:lang w:val="en-US"/>
              </w:rPr>
              <w:t>It’s</w:t>
            </w:r>
            <w:r w:rsidRPr="00FC19DD">
              <w:rPr>
                <w:rFonts w:ascii="Sora" w:hAnsi="Sora" w:cs="Sora"/>
                <w:noProof/>
                <w:color w:val="262626" w:themeColor="text1" w:themeTint="D9"/>
                <w:lang w:val="en-US" w:eastAsia="en-GB"/>
              </w:rPr>
              <w:t xml:space="preserve"> true that students might have limited or no experience of the workplace, but they will have been taught about some of the skills, technologies and working practices in your sector, which means they can turn their hand to any work that’s relevant and appropriate for them. I think you’ll find they make a useful contribution from the word go.</w:t>
            </w:r>
          </w:p>
          <w:p w14:paraId="18BCC166" w14:textId="77777777" w:rsidR="00FC19DD" w:rsidRPr="00FC19DD" w:rsidRDefault="00FC19DD" w:rsidP="00FC19DD">
            <w:pPr>
              <w:widowControl w:val="0"/>
              <w:autoSpaceDE w:val="0"/>
              <w:autoSpaceDN w:val="0"/>
              <w:spacing w:before="168" w:line="262" w:lineRule="auto"/>
              <w:ind w:right="-6"/>
              <w:rPr>
                <w:rFonts w:ascii="Sora" w:hAnsi="Sora" w:cs="Sora"/>
                <w:noProof/>
                <w:color w:val="262626" w:themeColor="text1" w:themeTint="D9"/>
                <w:lang w:val="en-US" w:eastAsia="en-GB"/>
              </w:rPr>
            </w:pPr>
          </w:p>
        </w:tc>
      </w:tr>
      <w:tr w:rsidR="00FC19DD" w:rsidRPr="00FC19DD" w14:paraId="3592B2DA" w14:textId="77777777" w:rsidTr="005425AD">
        <w:trPr>
          <w:cantSplit/>
          <w:trHeight w:val="54"/>
        </w:trPr>
        <w:tc>
          <w:tcPr>
            <w:tcW w:w="2694" w:type="dxa"/>
          </w:tcPr>
          <w:p w14:paraId="63BD0D0C" w14:textId="77777777" w:rsidR="00FC19DD" w:rsidRPr="00FC19DD" w:rsidRDefault="00FC19DD" w:rsidP="00FC19DD">
            <w:pPr>
              <w:widowControl w:val="0"/>
              <w:numPr>
                <w:ilvl w:val="0"/>
                <w:numId w:val="4"/>
              </w:numPr>
              <w:autoSpaceDE w:val="0"/>
              <w:autoSpaceDN w:val="0"/>
              <w:spacing w:before="168" w:line="261" w:lineRule="auto"/>
              <w:ind w:right="-5"/>
              <w:contextualSpacing/>
              <w:rPr>
                <w:rFonts w:ascii="Sora" w:hAnsi="Sora" w:cs="Sora"/>
                <w:noProof/>
                <w:color w:val="262626" w:themeColor="text1" w:themeTint="D9"/>
                <w:lang w:val="en-US" w:eastAsia="en-GB"/>
              </w:rPr>
            </w:pPr>
            <w:r w:rsidRPr="00FC19DD">
              <w:rPr>
                <w:rFonts w:ascii="Sora" w:hAnsi="Sora" w:cs="Sora"/>
                <w:noProof/>
                <w:color w:val="262626" w:themeColor="text1" w:themeTint="D9"/>
                <w:lang w:val="en-US" w:eastAsia="en-GB"/>
              </w:rPr>
              <w:t>We’ve got too many staff working from home at the moment.</w:t>
            </w:r>
          </w:p>
        </w:tc>
        <w:tc>
          <w:tcPr>
            <w:tcW w:w="6804" w:type="dxa"/>
          </w:tcPr>
          <w:p w14:paraId="66AA73CD" w14:textId="77777777" w:rsidR="00FC19DD" w:rsidRPr="00FC19DD" w:rsidRDefault="00FC19DD" w:rsidP="00FC19DD">
            <w:pPr>
              <w:widowControl w:val="0"/>
              <w:autoSpaceDE w:val="0"/>
              <w:autoSpaceDN w:val="0"/>
              <w:spacing w:before="168" w:line="261" w:lineRule="auto"/>
              <w:ind w:right="-5"/>
              <w:rPr>
                <w:rFonts w:ascii="Sora" w:eastAsia="Arial" w:hAnsi="Sora" w:cs="Sora"/>
                <w:spacing w:val="-1"/>
                <w:lang w:val="en-US"/>
              </w:rPr>
            </w:pPr>
            <w:r w:rsidRPr="00FC19DD">
              <w:rPr>
                <w:rFonts w:ascii="Sora" w:eastAsia="Arial" w:hAnsi="Sora" w:cs="Sora"/>
                <w:spacing w:val="-1"/>
                <w:lang w:val="en-US"/>
              </w:rPr>
              <w:t xml:space="preserve">If staff aren’t in the office or on site all the time, could they perhaps share day to day supervision of the student? </w:t>
            </w:r>
          </w:p>
          <w:p w14:paraId="342975A3" w14:textId="77777777" w:rsidR="00FC19DD" w:rsidRPr="00FC19DD" w:rsidRDefault="00FC19DD" w:rsidP="00FC19DD">
            <w:pPr>
              <w:widowControl w:val="0"/>
              <w:autoSpaceDE w:val="0"/>
              <w:autoSpaceDN w:val="0"/>
              <w:spacing w:before="168" w:line="262" w:lineRule="auto"/>
              <w:ind w:right="-6"/>
              <w:rPr>
                <w:rFonts w:ascii="Sora" w:eastAsia="Arial" w:hAnsi="Sora" w:cs="Sora"/>
                <w:spacing w:val="-1"/>
                <w:lang w:val="en-US"/>
              </w:rPr>
            </w:pPr>
            <w:r w:rsidRPr="00FC19DD">
              <w:rPr>
                <w:rFonts w:ascii="Sora" w:eastAsia="Arial" w:hAnsi="Sora" w:cs="Sora"/>
                <w:spacing w:val="-1"/>
                <w:lang w:val="en-US"/>
              </w:rPr>
              <w:t xml:space="preserve">This can work well if you’ve got a ‘bubble’ approach to </w:t>
            </w:r>
            <w:proofErr w:type="spellStart"/>
            <w:r w:rsidRPr="00FC19DD">
              <w:rPr>
                <w:rFonts w:ascii="Sora" w:eastAsia="Arial" w:hAnsi="Sora" w:cs="Sora"/>
                <w:spacing w:val="-1"/>
                <w:lang w:val="en-US"/>
              </w:rPr>
              <w:t>organising</w:t>
            </w:r>
            <w:proofErr w:type="spellEnd"/>
            <w:r w:rsidRPr="00FC19DD">
              <w:rPr>
                <w:rFonts w:ascii="Sora" w:eastAsia="Arial" w:hAnsi="Sora" w:cs="Sora"/>
                <w:spacing w:val="-1"/>
                <w:lang w:val="en-US"/>
              </w:rPr>
              <w:t xml:space="preserve"> shift patterns where the same staff work together each shift, as far as is practicable, to reduce the number of people interacting. Students can fit in to whatever arrangements you have for staff, and we’ll work with you to make it happen with the least possible disruption.</w:t>
            </w:r>
          </w:p>
        </w:tc>
      </w:tr>
    </w:tbl>
    <w:p w14:paraId="57E4175B" w14:textId="77777777" w:rsidR="00FC19DD" w:rsidRPr="00FC19DD" w:rsidRDefault="00FC19DD" w:rsidP="00FC19DD">
      <w:pPr>
        <w:widowControl w:val="0"/>
        <w:autoSpaceDE w:val="0"/>
        <w:autoSpaceDN w:val="0"/>
        <w:spacing w:before="120"/>
        <w:rPr>
          <w:rFonts w:ascii="Sora" w:eastAsia="Arial" w:hAnsi="Sora" w:cs="Sora"/>
          <w:spacing w:val="-1"/>
          <w:lang w:val="en-US"/>
        </w:rPr>
      </w:pPr>
    </w:p>
    <w:p w14:paraId="6460E6CE" w14:textId="77777777" w:rsidR="00FC19DD" w:rsidRPr="00FC19DD" w:rsidRDefault="00FC19DD" w:rsidP="00FC19DD">
      <w:pPr>
        <w:spacing w:before="120"/>
        <w:ind w:left="1985" w:hanging="1985"/>
        <w:rPr>
          <w:rFonts w:ascii="Sora" w:hAnsi="Sora" w:cs="Sora"/>
          <w:noProof/>
          <w:color w:val="262626" w:themeColor="text1" w:themeTint="D9"/>
          <w:lang w:val="en-US" w:eastAsia="en-GB"/>
        </w:rPr>
      </w:pPr>
    </w:p>
    <w:p w14:paraId="771C6B34" w14:textId="77777777" w:rsidR="00456C0A" w:rsidRDefault="00456C0A"/>
    <w:sectPr w:rsidR="00456C0A" w:rsidSect="00562D7D">
      <w:headerReference w:type="default" r:id="rId8"/>
      <w:footerReference w:type="default" r:id="rId9"/>
      <w:pgSz w:w="11900" w:h="16840" w:code="9"/>
      <w:pgMar w:top="1701" w:right="1276" w:bottom="851" w:left="1276"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9BC4E" w14:textId="77777777" w:rsidR="00B018CF" w:rsidRDefault="00B018CF" w:rsidP="00FC19DD">
      <w:r>
        <w:separator/>
      </w:r>
    </w:p>
  </w:endnote>
  <w:endnote w:type="continuationSeparator" w:id="0">
    <w:p w14:paraId="1F8C2495" w14:textId="77777777" w:rsidR="00B018CF" w:rsidRDefault="00B018CF" w:rsidP="00FC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ra">
    <w:altName w:val="Khmer UI"/>
    <w:charset w:val="00"/>
    <w:family w:val="auto"/>
    <w:pitch w:val="variable"/>
    <w:sig w:usb0="A000006F" w:usb1="5000004B" w:usb2="00010000" w:usb3="00000000" w:csb0="00000093" w:csb1="00000000"/>
  </w:font>
  <w:font w:name="Poppins">
    <w:altName w:val="Mangal"/>
    <w:charset w:val="00"/>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87404C" w14:paraId="3698C656" w14:textId="77777777" w:rsidTr="00562D7D">
      <w:tc>
        <w:tcPr>
          <w:tcW w:w="4505" w:type="dxa"/>
        </w:tcPr>
        <w:p w14:paraId="310985FA" w14:textId="77777777" w:rsidR="0087404C" w:rsidRDefault="00B018CF" w:rsidP="0087404C">
          <w:pPr>
            <w:pStyle w:val="Footer"/>
          </w:pPr>
          <w:r>
            <w:drawing>
              <wp:anchor distT="0" distB="0" distL="114300" distR="114300" simplePos="0" relativeHeight="251659264" behindDoc="0" locked="0" layoutInCell="1" allowOverlap="1" wp14:anchorId="61395CA7" wp14:editId="70A44CCE">
                <wp:simplePos x="0" y="0"/>
                <wp:positionH relativeFrom="column">
                  <wp:posOffset>-6350</wp:posOffset>
                </wp:positionH>
                <wp:positionV relativeFrom="paragraph">
                  <wp:posOffset>1270</wp:posOffset>
                </wp:positionV>
                <wp:extent cx="1095375" cy="3683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3683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05" w:type="dxa"/>
          <w:vAlign w:val="bottom"/>
        </w:tcPr>
        <w:p w14:paraId="55659F30" w14:textId="77777777" w:rsidR="0087404C" w:rsidRDefault="00B018CF" w:rsidP="00A81AB3">
          <w:pPr>
            <w:pStyle w:val="Footer"/>
            <w:jc w:val="right"/>
          </w:pPr>
          <w:r>
            <w:rPr>
              <w:b/>
              <w:bCs/>
              <w:sz w:val="18"/>
              <w:szCs w:val="20"/>
            </w:rPr>
            <w:t>P</w:t>
          </w:r>
          <w:r>
            <w:rPr>
              <w:b/>
              <w:bCs/>
              <w:sz w:val="18"/>
            </w:rPr>
            <w:t xml:space="preserve">age </w:t>
          </w:r>
          <w:r>
            <w:rPr>
              <w:b/>
              <w:bCs/>
              <w:sz w:val="18"/>
            </w:rPr>
            <w:fldChar w:fldCharType="begin"/>
          </w:r>
          <w:r>
            <w:rPr>
              <w:b/>
              <w:bCs/>
              <w:sz w:val="18"/>
            </w:rPr>
            <w:instrText xml:space="preserve"> PAGE   \* MERGEFORMAT </w:instrText>
          </w:r>
          <w:r>
            <w:rPr>
              <w:b/>
              <w:bCs/>
              <w:sz w:val="18"/>
            </w:rPr>
            <w:fldChar w:fldCharType="separate"/>
          </w:r>
          <w:r>
            <w:rPr>
              <w:b/>
              <w:bCs/>
              <w:sz w:val="18"/>
            </w:rPr>
            <w:t>1</w:t>
          </w:r>
          <w:r>
            <w:rPr>
              <w:b/>
              <w:bCs/>
              <w:sz w:val="18"/>
            </w:rPr>
            <w:fldChar w:fldCharType="end"/>
          </w:r>
        </w:p>
      </w:tc>
    </w:tr>
  </w:tbl>
  <w:p w14:paraId="1DFD992D" w14:textId="77777777" w:rsidR="0005631F" w:rsidRDefault="00B01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A033D" w14:textId="77777777" w:rsidR="00B018CF" w:rsidRDefault="00B018CF" w:rsidP="00FC19DD">
      <w:r>
        <w:separator/>
      </w:r>
    </w:p>
  </w:footnote>
  <w:footnote w:type="continuationSeparator" w:id="0">
    <w:p w14:paraId="7658DF5C" w14:textId="77777777" w:rsidR="00B018CF" w:rsidRDefault="00B018CF" w:rsidP="00FC19DD">
      <w:r>
        <w:continuationSeparator/>
      </w:r>
    </w:p>
  </w:footnote>
  <w:footnote w:id="1">
    <w:p w14:paraId="74836A7D" w14:textId="77777777" w:rsidR="00FC19DD" w:rsidRPr="00305F60" w:rsidRDefault="00FC19DD" w:rsidP="00FC19DD">
      <w:pPr>
        <w:pStyle w:val="FootnoteText"/>
        <w:spacing w:after="240"/>
        <w:rPr>
          <w:sz w:val="18"/>
          <w:szCs w:val="18"/>
        </w:rPr>
      </w:pPr>
      <w:r>
        <w:rPr>
          <w:rStyle w:val="FootnoteReference"/>
        </w:rPr>
        <w:footnoteRef/>
      </w:r>
      <w:r>
        <w:t xml:space="preserve"> S</w:t>
      </w:r>
      <w:r w:rsidRPr="00305F60">
        <w:rPr>
          <w:sz w:val="18"/>
          <w:szCs w:val="18"/>
        </w:rPr>
        <w:t>kills shortage</w:t>
      </w:r>
      <w:r>
        <w:rPr>
          <w:sz w:val="18"/>
          <w:szCs w:val="18"/>
        </w:rPr>
        <w:t>s</w:t>
      </w:r>
      <w:r w:rsidRPr="00305F60">
        <w:rPr>
          <w:sz w:val="18"/>
          <w:szCs w:val="18"/>
        </w:rPr>
        <w:t> </w:t>
      </w:r>
      <w:r>
        <w:rPr>
          <w:sz w:val="18"/>
          <w:szCs w:val="18"/>
        </w:rPr>
        <w:t>are</w:t>
      </w:r>
      <w:r w:rsidRPr="00305F60">
        <w:rPr>
          <w:sz w:val="18"/>
          <w:szCs w:val="18"/>
        </w:rPr>
        <w:t xml:space="preserve"> caused by a shortage </w:t>
      </w:r>
      <w:r>
        <w:rPr>
          <w:sz w:val="18"/>
          <w:szCs w:val="18"/>
        </w:rPr>
        <w:t xml:space="preserve">in the labour market </w:t>
      </w:r>
      <w:r w:rsidRPr="00305F60">
        <w:rPr>
          <w:sz w:val="18"/>
          <w:szCs w:val="18"/>
        </w:rPr>
        <w:t>of </w:t>
      </w:r>
      <w:r>
        <w:rPr>
          <w:sz w:val="18"/>
          <w:szCs w:val="18"/>
        </w:rPr>
        <w:t xml:space="preserve">people with the </w:t>
      </w:r>
      <w:r w:rsidRPr="00305F60">
        <w:rPr>
          <w:sz w:val="18"/>
          <w:szCs w:val="18"/>
        </w:rPr>
        <w:t>skills or experience employer</w:t>
      </w:r>
      <w:r>
        <w:rPr>
          <w:sz w:val="18"/>
          <w:szCs w:val="18"/>
        </w:rPr>
        <w:t>s are</w:t>
      </w:r>
      <w:r w:rsidRPr="00305F60">
        <w:rPr>
          <w:sz w:val="18"/>
          <w:szCs w:val="18"/>
        </w:rPr>
        <w:t xml:space="preserve"> look</w:t>
      </w:r>
      <w:r>
        <w:rPr>
          <w:sz w:val="18"/>
          <w:szCs w:val="18"/>
        </w:rPr>
        <w:t>ing</w:t>
      </w:r>
      <w:r w:rsidRPr="00305F60">
        <w:rPr>
          <w:sz w:val="18"/>
          <w:szCs w:val="18"/>
        </w:rPr>
        <w:t xml:space="preserve"> for</w:t>
      </w:r>
      <w:r>
        <w:rPr>
          <w:sz w:val="18"/>
          <w:szCs w:val="18"/>
        </w:rPr>
        <w:t>. Skills</w:t>
      </w:r>
      <w:r w:rsidRPr="00305F60">
        <w:rPr>
          <w:sz w:val="18"/>
          <w:szCs w:val="18"/>
        </w:rPr>
        <w:t xml:space="preserve"> gap</w:t>
      </w:r>
      <w:r>
        <w:rPr>
          <w:sz w:val="18"/>
          <w:szCs w:val="18"/>
        </w:rPr>
        <w:t>s</w:t>
      </w:r>
      <w:r w:rsidRPr="00305F60">
        <w:rPr>
          <w:sz w:val="18"/>
          <w:szCs w:val="18"/>
        </w:rPr>
        <w:t> </w:t>
      </w:r>
      <w:r>
        <w:rPr>
          <w:sz w:val="18"/>
          <w:szCs w:val="18"/>
        </w:rPr>
        <w:t xml:space="preserve">are </w:t>
      </w:r>
      <w:r w:rsidRPr="00305F60">
        <w:rPr>
          <w:sz w:val="18"/>
          <w:szCs w:val="18"/>
        </w:rPr>
        <w:t>gaps </w:t>
      </w:r>
      <w:r>
        <w:rPr>
          <w:sz w:val="18"/>
          <w:szCs w:val="18"/>
        </w:rPr>
        <w:t>in the skills or experience within an organisation. Skills shortages can contribute to skills gaps by making it difficult for employers to recruit people with the skills they need. T Levels are designed to help solve skills shortages/gaps.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92EB3" w14:textId="77777777" w:rsidR="00F50B61" w:rsidRDefault="00B018CF">
    <w:pPr>
      <w:pStyle w:val="Header"/>
    </w:pPr>
    <w:r>
      <w:drawing>
        <wp:inline distT="0" distB="0" distL="0" distR="0" wp14:anchorId="433C857E" wp14:editId="03DA1A8E">
          <wp:extent cx="1554480" cy="506578"/>
          <wp:effectExtent l="0" t="0" r="7620" b="8255"/>
          <wp:docPr id="15" name="Picture 15" descr="T Lev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
                    <a:extLst>
                      <a:ext uri="{28A0092B-C50C-407E-A947-70E740481C1C}">
                        <a14:useLocalDpi xmlns:a14="http://schemas.microsoft.com/office/drawing/2010/main" val="0"/>
                      </a:ext>
                    </a:extLst>
                  </a:blip>
                  <a:stretch>
                    <a:fillRect/>
                  </a:stretch>
                </pic:blipFill>
                <pic:spPr>
                  <a:xfrm>
                    <a:off x="0" y="0"/>
                    <a:ext cx="1554480" cy="506578"/>
                  </a:xfrm>
                  <a:prstGeom prst="rect">
                    <a:avLst/>
                  </a:prstGeom>
                </pic:spPr>
              </pic:pic>
            </a:graphicData>
          </a:graphic>
        </wp:inline>
      </w:drawing>
    </w:r>
    <w:r>
      <w:rPr>
        <w:b/>
        <w:bCs/>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92DA7"/>
    <w:multiLevelType w:val="hybridMultilevel"/>
    <w:tmpl w:val="15D011E0"/>
    <w:lvl w:ilvl="0" w:tplc="0809000F">
      <w:start w:val="1"/>
      <w:numFmt w:val="decimal"/>
      <w:lvlText w:val="%1."/>
      <w:lvlJc w:val="left"/>
      <w:pPr>
        <w:ind w:left="363" w:hanging="360"/>
      </w:pPr>
      <w:rPr>
        <w:rFonts w:hint="default"/>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 w15:restartNumberingAfterBreak="0">
    <w:nsid w:val="185A7319"/>
    <w:multiLevelType w:val="hybridMultilevel"/>
    <w:tmpl w:val="A16C1928"/>
    <w:lvl w:ilvl="0" w:tplc="0809000F">
      <w:start w:val="1"/>
      <w:numFmt w:val="decimal"/>
      <w:lvlText w:val="%1."/>
      <w:lvlJc w:val="left"/>
      <w:pPr>
        <w:ind w:left="363" w:hanging="360"/>
      </w:pPr>
      <w:rPr>
        <w:rFonts w:hint="default"/>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 w15:restartNumberingAfterBreak="0">
    <w:nsid w:val="49B67CF0"/>
    <w:multiLevelType w:val="hybridMultilevel"/>
    <w:tmpl w:val="95FC85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DF6612F"/>
    <w:multiLevelType w:val="hybridMultilevel"/>
    <w:tmpl w:val="21FABD84"/>
    <w:lvl w:ilvl="0" w:tplc="C8C819D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B52230"/>
    <w:multiLevelType w:val="hybridMultilevel"/>
    <w:tmpl w:val="A16C1928"/>
    <w:lvl w:ilvl="0" w:tplc="0809000F">
      <w:start w:val="1"/>
      <w:numFmt w:val="decimal"/>
      <w:lvlText w:val="%1."/>
      <w:lvlJc w:val="left"/>
      <w:pPr>
        <w:ind w:left="363" w:hanging="360"/>
      </w:pPr>
      <w:rPr>
        <w:rFonts w:hint="default"/>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DD"/>
    <w:rsid w:val="00456C0A"/>
    <w:rsid w:val="00B018CF"/>
    <w:rsid w:val="00FC1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86369"/>
  <w15:chartTrackingRefBased/>
  <w15:docId w15:val="{32078D89-7F3D-4276-811E-AE0669B8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19DD"/>
    <w:pPr>
      <w:tabs>
        <w:tab w:val="center" w:pos="4513"/>
        <w:tab w:val="right" w:pos="9026"/>
      </w:tabs>
    </w:pPr>
  </w:style>
  <w:style w:type="character" w:customStyle="1" w:styleId="HeaderChar">
    <w:name w:val="Header Char"/>
    <w:basedOn w:val="DefaultParagraphFont"/>
    <w:link w:val="Header"/>
    <w:uiPriority w:val="99"/>
    <w:semiHidden/>
    <w:rsid w:val="00FC19DD"/>
  </w:style>
  <w:style w:type="paragraph" w:styleId="Footer">
    <w:name w:val="footer"/>
    <w:basedOn w:val="Normal"/>
    <w:link w:val="FooterChar"/>
    <w:uiPriority w:val="99"/>
    <w:semiHidden/>
    <w:unhideWhenUsed/>
    <w:rsid w:val="00FC19DD"/>
    <w:pPr>
      <w:tabs>
        <w:tab w:val="center" w:pos="4513"/>
        <w:tab w:val="right" w:pos="9026"/>
      </w:tabs>
    </w:pPr>
  </w:style>
  <w:style w:type="character" w:customStyle="1" w:styleId="FooterChar">
    <w:name w:val="Footer Char"/>
    <w:basedOn w:val="DefaultParagraphFont"/>
    <w:link w:val="Footer"/>
    <w:uiPriority w:val="99"/>
    <w:semiHidden/>
    <w:rsid w:val="00FC19DD"/>
  </w:style>
  <w:style w:type="table" w:styleId="TableGrid">
    <w:name w:val="Table Grid"/>
    <w:basedOn w:val="TableNormal"/>
    <w:uiPriority w:val="39"/>
    <w:rsid w:val="00FC19DD"/>
    <w:pPr>
      <w:spacing w:before="12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C19DD"/>
    <w:rPr>
      <w:vertAlign w:val="superscript"/>
    </w:rPr>
  </w:style>
  <w:style w:type="paragraph" w:styleId="FootnoteText">
    <w:name w:val="footnote text"/>
    <w:basedOn w:val="Normal"/>
    <w:link w:val="FootnoteTextChar"/>
    <w:uiPriority w:val="99"/>
    <w:semiHidden/>
    <w:unhideWhenUsed/>
    <w:rsid w:val="00FC19DD"/>
    <w:rPr>
      <w:rFonts w:ascii="Sora" w:hAnsi="Sora" w:cs="Sora"/>
      <w:noProof/>
      <w:color w:val="262626" w:themeColor="text1" w:themeTint="D9"/>
      <w:sz w:val="20"/>
      <w:szCs w:val="20"/>
      <w:lang w:eastAsia="en-GB"/>
    </w:rPr>
  </w:style>
  <w:style w:type="character" w:customStyle="1" w:styleId="FootnoteTextChar">
    <w:name w:val="Footnote Text Char"/>
    <w:basedOn w:val="DefaultParagraphFont"/>
    <w:link w:val="FootnoteText"/>
    <w:uiPriority w:val="99"/>
    <w:semiHidden/>
    <w:rsid w:val="00FC19DD"/>
    <w:rPr>
      <w:rFonts w:ascii="Sora" w:hAnsi="Sora" w:cs="Sora"/>
      <w:noProof/>
      <w:color w:val="262626" w:themeColor="text1" w:themeTint="D9"/>
      <w:sz w:val="20"/>
      <w:szCs w:val="20"/>
      <w:lang w:eastAsia="en-GB"/>
    </w:rPr>
  </w:style>
  <w:style w:type="paragraph" w:styleId="ListParagraph">
    <w:name w:val="List Paragraph"/>
    <w:basedOn w:val="Normal"/>
    <w:uiPriority w:val="34"/>
    <w:qFormat/>
    <w:rsid w:val="00FC19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CF1B6-64B2-40FA-9E7B-4738678BF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1128</Words>
  <Characters>6431</Characters>
  <Application>Microsoft Office Word</Application>
  <DocSecurity>0</DocSecurity>
  <Lines>53</Lines>
  <Paragraphs>15</Paragraphs>
  <ScaleCrop>false</ScaleCrop>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Bradley</dc:creator>
  <cp:keywords/>
  <dc:description/>
  <cp:lastModifiedBy>Sarah Bradley</cp:lastModifiedBy>
  <cp:revision>1</cp:revision>
  <dcterms:created xsi:type="dcterms:W3CDTF">2021-09-08T12:37:00Z</dcterms:created>
  <dcterms:modified xsi:type="dcterms:W3CDTF">2021-09-08T12:46:00Z</dcterms:modified>
</cp:coreProperties>
</file>