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CCD58" w14:textId="78A985A6" w:rsidR="00C873B1" w:rsidRPr="005D2A09" w:rsidRDefault="008A295E" w:rsidP="6D900565">
      <w:pPr>
        <w:spacing w:before="100" w:after="100"/>
        <w:rPr>
          <w:rFonts w:cs="Arial"/>
          <w:b/>
          <w:bCs/>
          <w:i/>
          <w:iCs/>
          <w:caps/>
          <w:color w:val="FC4421"/>
          <w:kern w:val="2"/>
          <w:sz w:val="36"/>
          <w:szCs w:val="36"/>
          <w:lang w:val="en-GB"/>
          <w14:ligatures w14:val="standardContextual"/>
        </w:rPr>
      </w:pPr>
      <w:r w:rsidRPr="6D900565">
        <w:rPr>
          <w:rFonts w:cs="Arial"/>
          <w:b/>
          <w:bCs/>
          <w:i/>
          <w:iCs/>
          <w:caps/>
          <w:color w:val="FC4421"/>
          <w:kern w:val="2"/>
          <w:sz w:val="36"/>
          <w:szCs w:val="36"/>
          <w:lang w:val="en-GB"/>
          <w14:ligatures w14:val="standardContextual"/>
        </w:rPr>
        <w:t>DESIGNING</w:t>
      </w:r>
      <w:r w:rsidR="00A40872" w:rsidRPr="6D900565">
        <w:rPr>
          <w:rFonts w:cs="Arial"/>
          <w:b/>
          <w:bCs/>
          <w:i/>
          <w:iCs/>
          <w:caps/>
          <w:color w:val="FC4421"/>
          <w:kern w:val="2"/>
          <w:sz w:val="36"/>
          <w:szCs w:val="36"/>
          <w:lang w:val="en-GB"/>
          <w14:ligatures w14:val="standardContextual"/>
        </w:rPr>
        <w:t xml:space="preserve"> T Level industry placements</w:t>
      </w:r>
    </w:p>
    <w:p w14:paraId="71059DDA" w14:textId="77777777" w:rsidR="00236429" w:rsidRDefault="00236429" w:rsidP="00236429">
      <w:pPr>
        <w:pStyle w:val="Heading2"/>
        <w:spacing w:before="100" w:after="100"/>
        <w:rPr>
          <w:rFonts w:ascii="Arial" w:hAnsi="Arial" w:cs="Arial"/>
          <w:color w:val="FC4420"/>
          <w:sz w:val="28"/>
          <w:szCs w:val="28"/>
        </w:rPr>
      </w:pPr>
    </w:p>
    <w:p w14:paraId="1B59980B" w14:textId="1D701C97" w:rsidR="00617A02" w:rsidRPr="00F01636" w:rsidRDefault="00C873B1" w:rsidP="00236429">
      <w:pPr>
        <w:pStyle w:val="Heading2"/>
        <w:spacing w:before="120" w:after="120"/>
        <w:rPr>
          <w:rFonts w:ascii="Arial" w:hAnsi="Arial" w:cs="Arial"/>
          <w:color w:val="FC4420"/>
          <w:sz w:val="28"/>
          <w:szCs w:val="28"/>
        </w:rPr>
      </w:pPr>
      <w:r w:rsidRPr="00F01636">
        <w:rPr>
          <w:rFonts w:ascii="Arial" w:hAnsi="Arial" w:cs="Arial"/>
          <w:color w:val="FC4420"/>
          <w:sz w:val="28"/>
          <w:szCs w:val="28"/>
        </w:rPr>
        <w:t>Introduction</w:t>
      </w:r>
    </w:p>
    <w:p w14:paraId="3D64487B" w14:textId="77777777" w:rsidR="003B5A77" w:rsidRPr="00A60A46" w:rsidRDefault="008A295E" w:rsidP="00236429">
      <w:pPr>
        <w:pStyle w:val="p1"/>
        <w:spacing w:before="120" w:after="120" w:line="276" w:lineRule="auto"/>
        <w:rPr>
          <w:color w:val="auto"/>
          <w:sz w:val="24"/>
          <w:szCs w:val="24"/>
        </w:rPr>
      </w:pPr>
      <w:r w:rsidRPr="00A60A46">
        <w:rPr>
          <w:sz w:val="24"/>
          <w:szCs w:val="24"/>
        </w:rPr>
        <w:t xml:space="preserve">The </w:t>
      </w:r>
      <w:hyperlink r:id="rId11" w:history="1">
        <w:r w:rsidR="00A06CAD" w:rsidRPr="00A60A46">
          <w:rPr>
            <w:rStyle w:val="Hyperlink"/>
            <w:sz w:val="24"/>
            <w:szCs w:val="24"/>
          </w:rPr>
          <w:t>T Level industry placement guidance for education providers</w:t>
        </w:r>
      </w:hyperlink>
      <w:r w:rsidR="00C873B1" w:rsidRPr="00A60A46">
        <w:rPr>
          <w:sz w:val="24"/>
          <w:szCs w:val="24"/>
        </w:rPr>
        <w:t xml:space="preserve"> </w:t>
      </w:r>
      <w:r w:rsidRPr="00A60A46">
        <w:rPr>
          <w:color w:val="auto"/>
          <w:sz w:val="24"/>
          <w:szCs w:val="24"/>
        </w:rPr>
        <w:t xml:space="preserve">provides education providers with a range of delivery models and approaches that can be combined to create meaningful, high-quality industry placements. </w:t>
      </w:r>
    </w:p>
    <w:p w14:paraId="1ABAA6E9" w14:textId="7E6023D8" w:rsidR="007356DB" w:rsidRDefault="008A295E" w:rsidP="00236429">
      <w:pPr>
        <w:pStyle w:val="p1"/>
        <w:spacing w:before="120" w:after="120" w:line="276" w:lineRule="auto"/>
        <w:rPr>
          <w:color w:val="auto"/>
          <w:sz w:val="24"/>
          <w:szCs w:val="24"/>
        </w:rPr>
      </w:pPr>
      <w:r w:rsidRPr="00A60A46">
        <w:rPr>
          <w:color w:val="auto"/>
          <w:sz w:val="24"/>
          <w:szCs w:val="24"/>
        </w:rPr>
        <w:t>Thoughtful placement design can help more employers participate while ensuring students complete placements that support their learning and development.</w:t>
      </w:r>
    </w:p>
    <w:p w14:paraId="090A60AA" w14:textId="77777777" w:rsidR="00F01636" w:rsidRPr="007356DB" w:rsidRDefault="00F01636" w:rsidP="00236429">
      <w:pPr>
        <w:pStyle w:val="p1"/>
        <w:spacing w:before="120" w:after="120" w:line="276" w:lineRule="auto"/>
        <w:rPr>
          <w:color w:val="auto"/>
          <w:sz w:val="24"/>
          <w:szCs w:val="24"/>
        </w:rPr>
      </w:pPr>
    </w:p>
    <w:p w14:paraId="10E03502" w14:textId="4ABD3B0E" w:rsidR="00310B2D" w:rsidRPr="00F01636" w:rsidRDefault="00310B2D" w:rsidP="00236429">
      <w:pPr>
        <w:pStyle w:val="Heading3"/>
        <w:spacing w:before="120" w:after="120"/>
        <w:rPr>
          <w:rFonts w:ascii="Arial" w:hAnsi="Arial" w:cs="Arial"/>
          <w:color w:val="FC4420"/>
          <w:sz w:val="28"/>
          <w:szCs w:val="28"/>
        </w:rPr>
      </w:pPr>
      <w:r w:rsidRPr="00F01636">
        <w:rPr>
          <w:rFonts w:ascii="Arial" w:hAnsi="Arial" w:cs="Arial"/>
          <w:color w:val="FC4420"/>
          <w:sz w:val="28"/>
          <w:szCs w:val="28"/>
        </w:rPr>
        <w:t>Who benefits from industry placement?</w:t>
      </w:r>
    </w:p>
    <w:p w14:paraId="7E60D6B9" w14:textId="0735C13D" w:rsidR="00310B2D" w:rsidRDefault="00E261F5" w:rsidP="00236429">
      <w:pPr>
        <w:spacing w:before="120" w:after="120"/>
        <w:rPr>
          <w:rFonts w:cs="Arial"/>
          <w:sz w:val="24"/>
          <w:szCs w:val="24"/>
        </w:rPr>
      </w:pPr>
      <w:r w:rsidRPr="00E261F5">
        <w:rPr>
          <w:rFonts w:cs="Arial"/>
          <w:noProof/>
          <w:sz w:val="24"/>
          <w:szCs w:val="24"/>
          <w:lang w:val="en-GB"/>
        </w:rPr>
        <w:drawing>
          <wp:inline distT="0" distB="0" distL="0" distR="0" wp14:anchorId="3442FFA7" wp14:editId="084C4731">
            <wp:extent cx="6624000" cy="3312000"/>
            <wp:effectExtent l="0" t="0" r="5715" b="3175"/>
            <wp:docPr id="1457558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4000" cy="3312000"/>
                    </a:xfrm>
                    <a:prstGeom prst="rect">
                      <a:avLst/>
                    </a:prstGeom>
                    <a:noFill/>
                    <a:ln>
                      <a:noFill/>
                    </a:ln>
                  </pic:spPr>
                </pic:pic>
              </a:graphicData>
            </a:graphic>
          </wp:inline>
        </w:drawing>
      </w:r>
    </w:p>
    <w:p w14:paraId="189B60E6" w14:textId="3105E643" w:rsidR="00C873B1" w:rsidRPr="00F01636" w:rsidRDefault="00C873B1" w:rsidP="00236429">
      <w:pPr>
        <w:pStyle w:val="Heading3"/>
        <w:spacing w:before="120" w:after="120"/>
        <w:rPr>
          <w:rFonts w:ascii="Arial" w:hAnsi="Arial" w:cs="Arial"/>
          <w:color w:val="FC4420"/>
          <w:sz w:val="28"/>
          <w:szCs w:val="28"/>
        </w:rPr>
      </w:pPr>
      <w:r w:rsidRPr="00F01636">
        <w:rPr>
          <w:rFonts w:ascii="Arial" w:hAnsi="Arial" w:cs="Arial"/>
          <w:color w:val="FC4420"/>
          <w:sz w:val="28"/>
          <w:szCs w:val="28"/>
        </w:rPr>
        <w:t xml:space="preserve">Industry Placement </w:t>
      </w:r>
      <w:r w:rsidR="00617A02" w:rsidRPr="00F01636">
        <w:rPr>
          <w:rFonts w:ascii="Arial" w:hAnsi="Arial" w:cs="Arial"/>
          <w:color w:val="FC4420"/>
          <w:sz w:val="28"/>
          <w:szCs w:val="28"/>
        </w:rPr>
        <w:t>r</w:t>
      </w:r>
      <w:r w:rsidRPr="00F01636">
        <w:rPr>
          <w:rFonts w:ascii="Arial" w:hAnsi="Arial" w:cs="Arial"/>
          <w:color w:val="FC4420"/>
          <w:sz w:val="28"/>
          <w:szCs w:val="28"/>
        </w:rPr>
        <w:t>equirements</w:t>
      </w:r>
    </w:p>
    <w:p w14:paraId="60D7AC30" w14:textId="0345F861" w:rsidR="00C81F9E" w:rsidRDefault="00C873B1" w:rsidP="00236429">
      <w:pPr>
        <w:pStyle w:val="p1"/>
        <w:spacing w:before="120" w:after="120" w:line="276" w:lineRule="auto"/>
        <w:rPr>
          <w:sz w:val="24"/>
          <w:szCs w:val="24"/>
        </w:rPr>
      </w:pPr>
      <w:r w:rsidRPr="00A60A46">
        <w:rPr>
          <w:sz w:val="24"/>
          <w:szCs w:val="24"/>
        </w:rPr>
        <w:t xml:space="preserve">The </w:t>
      </w:r>
      <w:hyperlink r:id="rId13" w:history="1">
        <w:r w:rsidRPr="00A60A46">
          <w:rPr>
            <w:rStyle w:val="Hyperlink"/>
            <w:i/>
            <w:iCs/>
            <w:sz w:val="24"/>
            <w:szCs w:val="24"/>
          </w:rPr>
          <w:t>T Level Industry Placement Delivery Guidance</w:t>
        </w:r>
      </w:hyperlink>
      <w:r w:rsidRPr="00A60A46">
        <w:rPr>
          <w:sz w:val="24"/>
          <w:szCs w:val="24"/>
        </w:rPr>
        <w:t xml:space="preserve"> </w:t>
      </w:r>
      <w:r w:rsidR="00C81F9E" w:rsidRPr="00A60A46">
        <w:rPr>
          <w:sz w:val="24"/>
          <w:szCs w:val="24"/>
        </w:rPr>
        <w:t>is the key reference document for education providers delivering T Levels. It explains the core requirements that all industry placements must meet, together with the range of delivery approaches that providers can use</w:t>
      </w:r>
      <w:r w:rsidR="00F01636">
        <w:rPr>
          <w:sz w:val="24"/>
          <w:szCs w:val="24"/>
        </w:rPr>
        <w:t xml:space="preserve"> </w:t>
      </w:r>
      <w:r w:rsidR="00C81F9E" w:rsidRPr="00A60A46">
        <w:rPr>
          <w:sz w:val="24"/>
          <w:szCs w:val="24"/>
        </w:rPr>
        <w:t>when designing placements. Separate information is available for employers providing or overseeing industry placements.</w:t>
      </w:r>
    </w:p>
    <w:p w14:paraId="0297D165" w14:textId="77777777" w:rsidR="00236429" w:rsidRDefault="00236429" w:rsidP="00236429">
      <w:pPr>
        <w:pStyle w:val="p1"/>
        <w:spacing w:before="120" w:after="120" w:line="276" w:lineRule="auto"/>
        <w:rPr>
          <w:sz w:val="24"/>
          <w:szCs w:val="24"/>
        </w:rPr>
      </w:pPr>
    </w:p>
    <w:p w14:paraId="78528710" w14:textId="77777777" w:rsidR="00FE676A" w:rsidRDefault="00FE676A" w:rsidP="00236429">
      <w:pPr>
        <w:pStyle w:val="p1"/>
        <w:spacing w:before="120" w:after="120" w:line="276" w:lineRule="auto"/>
        <w:rPr>
          <w:b/>
          <w:bCs/>
          <w:color w:val="FC4420"/>
          <w:sz w:val="28"/>
          <w:szCs w:val="28"/>
        </w:rPr>
      </w:pPr>
    </w:p>
    <w:p w14:paraId="0AC6738B" w14:textId="54DB3379" w:rsidR="00D24CEB" w:rsidRDefault="00A40872" w:rsidP="00236429">
      <w:pPr>
        <w:pStyle w:val="p1"/>
        <w:spacing w:before="120" w:after="120" w:line="276" w:lineRule="auto"/>
        <w:rPr>
          <w:b/>
          <w:bCs/>
          <w:color w:val="FC4420"/>
          <w:sz w:val="28"/>
          <w:szCs w:val="28"/>
        </w:rPr>
      </w:pPr>
      <w:r w:rsidRPr="00F01636">
        <w:rPr>
          <w:b/>
          <w:bCs/>
          <w:color w:val="FC4420"/>
          <w:sz w:val="28"/>
          <w:szCs w:val="28"/>
        </w:rPr>
        <w:lastRenderedPageBreak/>
        <w:t>Creative combinations: Building placements</w:t>
      </w:r>
    </w:p>
    <w:p w14:paraId="590F6EE3" w14:textId="77777777" w:rsidR="00FE676A" w:rsidRPr="00F01636" w:rsidRDefault="00FE676A" w:rsidP="00236429">
      <w:pPr>
        <w:pStyle w:val="p1"/>
        <w:spacing w:before="120" w:after="120" w:line="276" w:lineRule="auto"/>
        <w:rPr>
          <w:b/>
          <w:bCs/>
          <w:color w:val="FC4420"/>
          <w:sz w:val="28"/>
          <w:szCs w:val="28"/>
        </w:rPr>
      </w:pPr>
    </w:p>
    <w:p w14:paraId="3810CC00" w14:textId="77777777" w:rsidR="00CB5D27" w:rsidRPr="00A60A46" w:rsidRDefault="00CB5D27" w:rsidP="00236429">
      <w:pPr>
        <w:spacing w:before="120" w:after="120"/>
        <w:rPr>
          <w:rFonts w:eastAsia="Times New Roman" w:cs="Arial"/>
          <w:sz w:val="24"/>
          <w:szCs w:val="24"/>
          <w:lang w:val="en-GB" w:eastAsia="en-GB"/>
        </w:rPr>
      </w:pPr>
      <w:r w:rsidRPr="00A60A46">
        <w:rPr>
          <w:rFonts w:eastAsia="Times New Roman" w:cs="Arial"/>
          <w:sz w:val="24"/>
          <w:szCs w:val="24"/>
          <w:lang w:val="en-GB" w:eastAsia="en-GB"/>
        </w:rPr>
        <w:t>The T Level industry placement guidance provides a range of delivery approaches that can be used to design industry placements which are both meaningful for students and practical for employers. Thoughtfully combining these approaches can increase employer participation, create more placement opportunities and help providers respond to different local contexts, while maintaining high-quality learning experiences.</w:t>
      </w:r>
    </w:p>
    <w:p w14:paraId="776EE44E" w14:textId="6DCD282C" w:rsidR="00CB5D27" w:rsidRPr="00A60A46" w:rsidRDefault="00CB5D27" w:rsidP="00236429">
      <w:pPr>
        <w:spacing w:before="120" w:after="120"/>
        <w:rPr>
          <w:rFonts w:eastAsia="Times New Roman" w:cs="Arial"/>
          <w:sz w:val="24"/>
          <w:szCs w:val="24"/>
          <w:lang w:val="en-GB" w:eastAsia="en-GB"/>
        </w:rPr>
      </w:pPr>
      <w:r w:rsidRPr="00A60A46">
        <w:rPr>
          <w:rFonts w:eastAsia="Times New Roman" w:cs="Arial"/>
          <w:sz w:val="24"/>
          <w:szCs w:val="24"/>
          <w:lang w:val="en-GB" w:eastAsia="en-GB"/>
        </w:rPr>
        <w:t>Delivery approaches such as work taster activities, multiple employers, small team projects and remote working can be used individually or combined where appropriate. For example, a student might begin with work taster activities to explore different parts of an industry before moving into a longer placement with a preferred employer. Alternatively, a student could complete part of their placement through a small team project, overseen by an external employer either on the employer’s premises or using provider facilities, before progressing into workplace-based activity.</w:t>
      </w:r>
    </w:p>
    <w:p w14:paraId="74396909" w14:textId="53044AD1" w:rsidR="00CB5D27" w:rsidRPr="00A60A46" w:rsidRDefault="00CB5D27" w:rsidP="00236429">
      <w:pPr>
        <w:spacing w:before="120" w:after="120"/>
        <w:rPr>
          <w:rFonts w:eastAsia="Times New Roman" w:cs="Arial"/>
          <w:sz w:val="24"/>
          <w:szCs w:val="24"/>
          <w:lang w:val="en-GB" w:eastAsia="en-GB"/>
        </w:rPr>
      </w:pPr>
      <w:r w:rsidRPr="00A60A46">
        <w:rPr>
          <w:rFonts w:eastAsia="Times New Roman" w:cs="Arial"/>
          <w:sz w:val="24"/>
          <w:szCs w:val="24"/>
          <w:lang w:val="en-GB" w:eastAsia="en-GB"/>
        </w:rPr>
        <w:t xml:space="preserve">There is no single model for designing an industry placement. Providers should select the combination of delivery approaches that best supports the employer’s capacity, the student’s readiness and the intended learning </w:t>
      </w:r>
      <w:r w:rsidR="00C81F9E" w:rsidRPr="00A60A46">
        <w:rPr>
          <w:rFonts w:eastAsia="Times New Roman" w:cs="Arial"/>
          <w:sz w:val="24"/>
          <w:szCs w:val="24"/>
          <w:lang w:val="en-GB" w:eastAsia="en-GB"/>
        </w:rPr>
        <w:t>goals</w:t>
      </w:r>
      <w:r w:rsidRPr="00A60A46">
        <w:rPr>
          <w:rFonts w:eastAsia="Times New Roman" w:cs="Arial"/>
          <w:sz w:val="24"/>
          <w:szCs w:val="24"/>
          <w:lang w:val="en-GB" w:eastAsia="en-GB"/>
        </w:rPr>
        <w:t>.</w:t>
      </w:r>
    </w:p>
    <w:p w14:paraId="597F8344" w14:textId="7EA03C1E" w:rsidR="00CB5D27" w:rsidRPr="00A60A46" w:rsidRDefault="00CB5D27" w:rsidP="00236429">
      <w:pPr>
        <w:spacing w:before="120" w:after="120"/>
        <w:rPr>
          <w:rFonts w:eastAsia="Times New Roman" w:cs="Arial"/>
          <w:sz w:val="24"/>
          <w:szCs w:val="24"/>
          <w:lang w:val="en-GB" w:eastAsia="en-GB"/>
        </w:rPr>
      </w:pPr>
      <w:r w:rsidRPr="00A60A46">
        <w:rPr>
          <w:rFonts w:eastAsia="Times New Roman" w:cs="Arial"/>
          <w:sz w:val="24"/>
          <w:szCs w:val="24"/>
          <w:lang w:val="en-GB" w:eastAsia="en-GB"/>
        </w:rPr>
        <w:t>Whatever approach is used, every placement should continue to meet the core industry placement requirements. This includes ensuring that students undertake meaningful workplace activity, are supported by appropriate employer oversight, work towards agreed placement objectives and individual learning goals, and receive regular feedback and review throughout their placement.</w:t>
      </w:r>
    </w:p>
    <w:p w14:paraId="0BDBB16E" w14:textId="51E6947E" w:rsidR="00CB5D27" w:rsidRPr="00A60A46" w:rsidRDefault="00CB5D27" w:rsidP="00236429">
      <w:pPr>
        <w:spacing w:before="120" w:after="120"/>
        <w:rPr>
          <w:rFonts w:eastAsia="Times New Roman" w:cs="Arial"/>
          <w:sz w:val="24"/>
          <w:szCs w:val="24"/>
          <w:lang w:val="en-GB" w:eastAsia="en-GB"/>
        </w:rPr>
      </w:pPr>
      <w:r w:rsidRPr="00A60A46">
        <w:rPr>
          <w:rFonts w:eastAsia="Times New Roman" w:cs="Arial"/>
          <w:sz w:val="24"/>
          <w:szCs w:val="24"/>
          <w:lang w:val="en-GB" w:eastAsia="en-GB"/>
        </w:rPr>
        <w:t>Where remote working forms part of a placement, it should only be included where the employer is able to provide appropriate supervision, the student has a suitable environment and equipment, and remote working reflects the nature of the role. Where possible, remote working is recommended to account for no more than 20% of placement hours, although a higher proportion may be appropriate in sectors where remote working is established practice.</w:t>
      </w:r>
    </w:p>
    <w:p w14:paraId="5BA74AF1" w14:textId="116BA97B" w:rsidR="00834297" w:rsidRPr="00A60A46" w:rsidRDefault="00CB5D27" w:rsidP="00236429">
      <w:pPr>
        <w:spacing w:before="120" w:after="120"/>
        <w:rPr>
          <w:rFonts w:eastAsia="Times New Roman" w:cs="Arial"/>
          <w:sz w:val="24"/>
          <w:szCs w:val="24"/>
          <w:lang w:val="en-GB" w:eastAsia="en-GB"/>
        </w:rPr>
      </w:pPr>
      <w:r w:rsidRPr="00A60A46">
        <w:rPr>
          <w:rFonts w:eastAsia="Times New Roman" w:cs="Arial"/>
          <w:sz w:val="24"/>
          <w:szCs w:val="24"/>
          <w:lang w:val="en-GB" w:eastAsia="en-GB"/>
        </w:rPr>
        <w:t>Careful planning and ongoing collaboration between providers and employers will help ensure that delivery approaches are combined appropriately, remain aligned to each student’s learning goals, and continue to provide a high-quality industry placement experience</w:t>
      </w:r>
      <w:r w:rsidR="00834297" w:rsidRPr="00A60A46">
        <w:rPr>
          <w:rFonts w:eastAsia="Times New Roman" w:cs="Arial"/>
          <w:sz w:val="24"/>
          <w:szCs w:val="24"/>
          <w:lang w:val="en-GB" w:eastAsia="en-GB"/>
        </w:rPr>
        <w:t>.</w:t>
      </w:r>
    </w:p>
    <w:p w14:paraId="7D229E58" w14:textId="77777777" w:rsidR="00236429" w:rsidRDefault="00236429" w:rsidP="00236429">
      <w:pPr>
        <w:pStyle w:val="p1"/>
        <w:spacing w:before="120" w:after="120" w:line="276" w:lineRule="auto"/>
        <w:rPr>
          <w:b/>
          <w:bCs/>
          <w:color w:val="FC4420"/>
          <w:sz w:val="28"/>
          <w:szCs w:val="28"/>
        </w:rPr>
      </w:pPr>
    </w:p>
    <w:p w14:paraId="0706ADAF" w14:textId="77777777" w:rsidR="00236429" w:rsidRDefault="00236429" w:rsidP="00236429">
      <w:pPr>
        <w:pStyle w:val="p1"/>
        <w:spacing w:before="120" w:after="120" w:line="276" w:lineRule="auto"/>
        <w:rPr>
          <w:b/>
          <w:bCs/>
          <w:color w:val="FC4420"/>
          <w:sz w:val="28"/>
          <w:szCs w:val="28"/>
        </w:rPr>
      </w:pPr>
    </w:p>
    <w:p w14:paraId="44FB8B06" w14:textId="77777777" w:rsidR="00236429" w:rsidRDefault="00236429" w:rsidP="00236429">
      <w:pPr>
        <w:pStyle w:val="p1"/>
        <w:spacing w:before="120" w:after="120" w:line="276" w:lineRule="auto"/>
        <w:rPr>
          <w:b/>
          <w:bCs/>
          <w:color w:val="FC4420"/>
          <w:sz w:val="28"/>
          <w:szCs w:val="28"/>
        </w:rPr>
      </w:pPr>
    </w:p>
    <w:p w14:paraId="1A29BE96" w14:textId="77777777" w:rsidR="00632596" w:rsidRDefault="00632596" w:rsidP="00236429">
      <w:pPr>
        <w:pStyle w:val="p1"/>
        <w:spacing w:before="120" w:after="120" w:line="276" w:lineRule="auto"/>
        <w:rPr>
          <w:b/>
          <w:bCs/>
          <w:color w:val="FC4420"/>
          <w:sz w:val="28"/>
          <w:szCs w:val="28"/>
        </w:rPr>
      </w:pPr>
    </w:p>
    <w:p w14:paraId="0CE51D6A" w14:textId="77777777" w:rsidR="00236429" w:rsidRDefault="00236429" w:rsidP="00236429">
      <w:pPr>
        <w:pStyle w:val="p1"/>
        <w:spacing w:before="120" w:after="120" w:line="276" w:lineRule="auto"/>
        <w:rPr>
          <w:b/>
          <w:bCs/>
          <w:color w:val="FC4420"/>
          <w:sz w:val="28"/>
          <w:szCs w:val="28"/>
        </w:rPr>
      </w:pPr>
    </w:p>
    <w:p w14:paraId="58C8AC5C" w14:textId="77777777" w:rsidR="00632596" w:rsidRDefault="00632596" w:rsidP="00236429">
      <w:pPr>
        <w:pStyle w:val="p1"/>
        <w:spacing w:before="120" w:after="120" w:line="276" w:lineRule="auto"/>
        <w:rPr>
          <w:b/>
          <w:bCs/>
          <w:color w:val="FC4420"/>
          <w:sz w:val="28"/>
          <w:szCs w:val="28"/>
        </w:rPr>
      </w:pPr>
    </w:p>
    <w:p w14:paraId="6589D5D9" w14:textId="0342F482" w:rsidR="00A36FD2" w:rsidRDefault="00F01636" w:rsidP="00236429">
      <w:pPr>
        <w:pStyle w:val="p1"/>
        <w:spacing w:before="120" w:after="120" w:line="276" w:lineRule="auto"/>
        <w:rPr>
          <w:b/>
          <w:bCs/>
          <w:color w:val="FC4420"/>
          <w:sz w:val="28"/>
          <w:szCs w:val="28"/>
        </w:rPr>
      </w:pPr>
      <w:r w:rsidRPr="00F01636">
        <w:rPr>
          <w:b/>
          <w:bCs/>
          <w:color w:val="FC4420"/>
          <w:sz w:val="28"/>
          <w:szCs w:val="28"/>
        </w:rPr>
        <w:t xml:space="preserve">Example placement models </w:t>
      </w:r>
    </w:p>
    <w:p w14:paraId="7FAA5F67" w14:textId="552F319F" w:rsidR="00236429" w:rsidRDefault="005A5A02" w:rsidP="00236429">
      <w:pPr>
        <w:pStyle w:val="p1"/>
        <w:spacing w:before="120" w:after="120" w:line="276" w:lineRule="auto"/>
        <w:rPr>
          <w:color w:val="auto"/>
          <w:sz w:val="24"/>
          <w:szCs w:val="24"/>
        </w:rPr>
      </w:pPr>
      <w:r w:rsidRPr="005A5A02">
        <w:rPr>
          <w:color w:val="auto"/>
          <w:sz w:val="24"/>
          <w:szCs w:val="24"/>
        </w:rPr>
        <w:t>The following examples illustrate how different delivery approaches can be combined while continuing to meet the core industry placement requirements.</w:t>
      </w:r>
    </w:p>
    <w:p w14:paraId="13368B60" w14:textId="77777777" w:rsidR="00236429" w:rsidRPr="005A5A02" w:rsidRDefault="00236429" w:rsidP="00236429">
      <w:pPr>
        <w:pStyle w:val="p1"/>
        <w:spacing w:before="100" w:after="100" w:line="276" w:lineRule="auto"/>
        <w:rPr>
          <w:color w:val="auto"/>
          <w:sz w:val="24"/>
          <w:szCs w:val="24"/>
        </w:rPr>
      </w:pPr>
    </w:p>
    <w:p w14:paraId="24631BA5" w14:textId="18EBD4EC" w:rsidR="00834297" w:rsidRPr="00834297" w:rsidRDefault="00834297" w:rsidP="00236429">
      <w:pPr>
        <w:spacing w:before="100" w:after="100"/>
        <w:rPr>
          <w:rFonts w:eastAsia="Times New Roman" w:cs="Arial"/>
          <w:sz w:val="24"/>
          <w:szCs w:val="24"/>
          <w:lang w:val="en-GB" w:eastAsia="en-GB"/>
        </w:rPr>
        <w:sectPr w:rsidR="00834297" w:rsidRPr="00834297" w:rsidSect="003F2ECF">
          <w:headerReference w:type="even" r:id="rId14"/>
          <w:headerReference w:type="default" r:id="rId15"/>
          <w:footerReference w:type="even" r:id="rId16"/>
          <w:headerReference w:type="first" r:id="rId17"/>
          <w:pgSz w:w="12240" w:h="15840"/>
          <w:pgMar w:top="1748" w:right="1080" w:bottom="1150" w:left="1080" w:header="510" w:footer="794" w:gutter="0"/>
          <w:cols w:space="720"/>
          <w:titlePg/>
          <w:docGrid w:linePitch="360"/>
        </w:sectPr>
      </w:pPr>
      <w:r w:rsidRPr="00834297">
        <w:rPr>
          <w:rFonts w:eastAsia="Times New Roman" w:cs="Arial"/>
          <w:noProof/>
          <w:sz w:val="24"/>
          <w:szCs w:val="24"/>
          <w:lang w:val="en-GB" w:eastAsia="en-GB"/>
        </w:rPr>
        <w:drawing>
          <wp:inline distT="0" distB="0" distL="0" distR="0" wp14:anchorId="511636E7" wp14:editId="7D43FD9E">
            <wp:extent cx="6429534" cy="4680000"/>
            <wp:effectExtent l="0" t="0" r="9525" b="6350"/>
            <wp:docPr id="7994936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93641" name="Picture 6"/>
                    <pic:cNvPicPr>
                      <a:picLocks noChangeAspect="1" noChangeArrowheads="1"/>
                    </pic:cNvPicPr>
                  </pic:nvPicPr>
                  <pic:blipFill>
                    <a:blip r:embed="rId18"/>
                    <a:stretch>
                      <a:fillRect/>
                    </a:stretch>
                  </pic:blipFill>
                  <pic:spPr bwMode="auto">
                    <a:xfrm>
                      <a:off x="0" y="0"/>
                      <a:ext cx="6429534" cy="4680000"/>
                    </a:xfrm>
                    <a:prstGeom prst="rect">
                      <a:avLst/>
                    </a:prstGeom>
                    <a:noFill/>
                    <a:ln>
                      <a:noFill/>
                    </a:ln>
                  </pic:spPr>
                </pic:pic>
              </a:graphicData>
            </a:graphic>
          </wp:inline>
        </w:drawing>
      </w:r>
    </w:p>
    <w:p w14:paraId="42D268A5" w14:textId="77777777" w:rsidR="00603E4E" w:rsidRDefault="00603E4E" w:rsidP="00236429">
      <w:pPr>
        <w:pStyle w:val="p1"/>
        <w:spacing w:before="100" w:after="100" w:line="276" w:lineRule="auto"/>
        <w:rPr>
          <w:color w:val="auto"/>
          <w:sz w:val="24"/>
          <w:szCs w:val="24"/>
        </w:rPr>
      </w:pPr>
    </w:p>
    <w:p w14:paraId="6E1304E5" w14:textId="77777777" w:rsidR="00236429" w:rsidRDefault="00236429" w:rsidP="00236429">
      <w:pPr>
        <w:pStyle w:val="p1"/>
        <w:spacing w:before="100" w:after="100" w:line="276" w:lineRule="auto"/>
        <w:rPr>
          <w:color w:val="auto"/>
          <w:sz w:val="24"/>
          <w:szCs w:val="24"/>
        </w:rPr>
      </w:pPr>
    </w:p>
    <w:p w14:paraId="748DA180" w14:textId="77777777" w:rsidR="00236429" w:rsidRDefault="00236429" w:rsidP="00236429">
      <w:pPr>
        <w:pStyle w:val="p1"/>
        <w:spacing w:before="100" w:after="100" w:line="276" w:lineRule="auto"/>
        <w:rPr>
          <w:color w:val="auto"/>
          <w:sz w:val="24"/>
          <w:szCs w:val="24"/>
        </w:rPr>
      </w:pPr>
    </w:p>
    <w:p w14:paraId="6EDC88CA" w14:textId="77777777" w:rsidR="00236429" w:rsidRPr="00820618" w:rsidRDefault="00236429" w:rsidP="00236429">
      <w:pPr>
        <w:pStyle w:val="p1"/>
        <w:spacing w:before="100" w:after="100" w:line="276" w:lineRule="auto"/>
        <w:rPr>
          <w:color w:val="auto"/>
          <w:sz w:val="24"/>
          <w:szCs w:val="24"/>
        </w:rPr>
      </w:pPr>
    </w:p>
    <w:p w14:paraId="30CA6ACE" w14:textId="165EFCEE" w:rsidR="00381288" w:rsidRPr="00381288" w:rsidRDefault="00C00A3F" w:rsidP="00236429">
      <w:pPr>
        <w:spacing w:before="100" w:after="100"/>
        <w:rPr>
          <w:rFonts w:cs="Arial"/>
          <w:noProof/>
          <w:lang w:val="en-GB"/>
        </w:rPr>
      </w:pPr>
      <w:r w:rsidRPr="00C00A3F">
        <w:rPr>
          <w:rFonts w:cs="Arial"/>
          <w:noProof/>
          <w:lang w:val="en-GB"/>
        </w:rPr>
        <w:drawing>
          <wp:inline distT="0" distB="0" distL="0" distR="0" wp14:anchorId="5519F83F" wp14:editId="20345483">
            <wp:extent cx="6405536" cy="4804152"/>
            <wp:effectExtent l="0" t="0" r="0" b="0"/>
            <wp:docPr id="312879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7931" name="Picture 9"/>
                    <pic:cNvPicPr>
                      <a:picLocks noChangeAspect="1" noChangeArrowheads="1"/>
                    </pic:cNvPicPr>
                  </pic:nvPicPr>
                  <pic:blipFill>
                    <a:blip r:embed="rId19"/>
                    <a:stretch>
                      <a:fillRect/>
                    </a:stretch>
                  </pic:blipFill>
                  <pic:spPr bwMode="auto">
                    <a:xfrm>
                      <a:off x="0" y="0"/>
                      <a:ext cx="6405536" cy="4804152"/>
                    </a:xfrm>
                    <a:prstGeom prst="rect">
                      <a:avLst/>
                    </a:prstGeom>
                    <a:noFill/>
                    <a:ln>
                      <a:noFill/>
                    </a:ln>
                  </pic:spPr>
                </pic:pic>
              </a:graphicData>
            </a:graphic>
          </wp:inline>
        </w:drawing>
      </w:r>
    </w:p>
    <w:p w14:paraId="0D48F1E8" w14:textId="2F60DE9F" w:rsidR="00C00A3F" w:rsidRPr="00C00A3F" w:rsidRDefault="00C00A3F" w:rsidP="00236429">
      <w:pPr>
        <w:spacing w:before="100" w:after="100"/>
        <w:rPr>
          <w:rFonts w:cs="Arial"/>
          <w:noProof/>
          <w:lang w:val="en-GB"/>
        </w:rPr>
      </w:pPr>
    </w:p>
    <w:p w14:paraId="75FD01E5" w14:textId="3541B8BD" w:rsidR="00DD39E2" w:rsidRDefault="00DD39E2" w:rsidP="00236429">
      <w:pPr>
        <w:spacing w:before="100" w:after="100"/>
        <w:rPr>
          <w:rFonts w:cs="Arial"/>
          <w:noProof/>
          <w:lang w:val="en-GB"/>
        </w:rPr>
      </w:pPr>
    </w:p>
    <w:p w14:paraId="61EFF259" w14:textId="77777777" w:rsidR="005A5A02" w:rsidRDefault="005A5A02" w:rsidP="00236429">
      <w:pPr>
        <w:spacing w:before="100" w:after="100"/>
        <w:rPr>
          <w:rFonts w:cs="Arial"/>
          <w:noProof/>
          <w:lang w:val="en-GB"/>
        </w:rPr>
      </w:pPr>
    </w:p>
    <w:p w14:paraId="71162C86" w14:textId="77777777" w:rsidR="005A5A02" w:rsidRDefault="005A5A02" w:rsidP="00236429">
      <w:pPr>
        <w:spacing w:before="100" w:after="100"/>
        <w:rPr>
          <w:rFonts w:cs="Arial"/>
          <w:noProof/>
          <w:lang w:val="en-GB"/>
        </w:rPr>
      </w:pPr>
    </w:p>
    <w:p w14:paraId="58B9C655" w14:textId="77777777" w:rsidR="005A5A02" w:rsidRDefault="005A5A02" w:rsidP="00236429">
      <w:pPr>
        <w:spacing w:before="100" w:after="100"/>
        <w:rPr>
          <w:rFonts w:cs="Arial"/>
          <w:noProof/>
          <w:lang w:val="en-GB"/>
        </w:rPr>
      </w:pPr>
    </w:p>
    <w:p w14:paraId="4C3DC772" w14:textId="77777777" w:rsidR="005A5A02" w:rsidRDefault="005A5A02" w:rsidP="00236429">
      <w:pPr>
        <w:spacing w:before="100" w:after="100"/>
        <w:rPr>
          <w:rFonts w:cs="Arial"/>
          <w:noProof/>
          <w:lang w:val="en-GB"/>
        </w:rPr>
      </w:pPr>
    </w:p>
    <w:p w14:paraId="56C2EDF5" w14:textId="77777777" w:rsidR="005A5A02" w:rsidRDefault="005A5A02" w:rsidP="00236429">
      <w:pPr>
        <w:spacing w:before="100" w:after="100"/>
        <w:rPr>
          <w:rFonts w:cs="Arial"/>
          <w:noProof/>
          <w:lang w:val="en-GB"/>
        </w:rPr>
      </w:pPr>
    </w:p>
    <w:p w14:paraId="358A7300" w14:textId="77777777" w:rsidR="005A5A02" w:rsidRDefault="005A5A02" w:rsidP="00236429">
      <w:pPr>
        <w:spacing w:before="100" w:after="100"/>
        <w:rPr>
          <w:rFonts w:cs="Arial"/>
          <w:noProof/>
          <w:lang w:val="en-GB"/>
        </w:rPr>
      </w:pPr>
    </w:p>
    <w:p w14:paraId="62870259" w14:textId="77777777" w:rsidR="005A5A02" w:rsidRDefault="005A5A02" w:rsidP="00236429">
      <w:pPr>
        <w:spacing w:before="100" w:after="100"/>
        <w:rPr>
          <w:rFonts w:cs="Arial"/>
          <w:noProof/>
          <w:lang w:val="en-GB"/>
        </w:rPr>
      </w:pPr>
    </w:p>
    <w:p w14:paraId="43A96373" w14:textId="77777777" w:rsidR="00236429" w:rsidRDefault="00236429" w:rsidP="00236429">
      <w:pPr>
        <w:spacing w:before="100" w:after="100"/>
        <w:rPr>
          <w:rFonts w:cs="Arial"/>
          <w:noProof/>
          <w:lang w:val="en-GB"/>
        </w:rPr>
      </w:pPr>
    </w:p>
    <w:p w14:paraId="37F9E1B4" w14:textId="77777777" w:rsidR="00632596" w:rsidRDefault="00632596" w:rsidP="00236429">
      <w:pPr>
        <w:spacing w:before="100" w:after="100"/>
        <w:rPr>
          <w:rFonts w:cs="Arial"/>
          <w:noProof/>
          <w:lang w:val="en-GB"/>
        </w:rPr>
      </w:pPr>
    </w:p>
    <w:p w14:paraId="2783388E" w14:textId="77777777" w:rsidR="00632596" w:rsidRDefault="00632596" w:rsidP="00236429">
      <w:pPr>
        <w:spacing w:before="100" w:after="100"/>
        <w:rPr>
          <w:rFonts w:cs="Arial"/>
          <w:noProof/>
          <w:lang w:val="en-GB"/>
        </w:rPr>
      </w:pPr>
    </w:p>
    <w:p w14:paraId="7C860D9E" w14:textId="77777777" w:rsidR="00236429" w:rsidRPr="00DD39E2" w:rsidRDefault="00236429" w:rsidP="00236429">
      <w:pPr>
        <w:spacing w:before="100" w:after="100"/>
        <w:rPr>
          <w:rFonts w:cs="Arial"/>
          <w:noProof/>
          <w:lang w:val="en-GB"/>
        </w:rPr>
      </w:pPr>
    </w:p>
    <w:p w14:paraId="40A2B19B" w14:textId="15477216" w:rsidR="00062967" w:rsidRPr="00062967" w:rsidRDefault="00062967" w:rsidP="00236429">
      <w:pPr>
        <w:spacing w:before="100" w:after="100"/>
        <w:rPr>
          <w:rFonts w:cs="Arial"/>
          <w:noProof/>
          <w:lang w:val="en-GB"/>
        </w:rPr>
      </w:pPr>
      <w:r w:rsidRPr="00062967">
        <w:rPr>
          <w:rFonts w:cs="Arial"/>
          <w:noProof/>
          <w:lang w:val="en-GB"/>
        </w:rPr>
        <w:drawing>
          <wp:inline distT="0" distB="0" distL="0" distR="0" wp14:anchorId="7391EFA0" wp14:editId="023B1E70">
            <wp:extent cx="6406400" cy="4752000"/>
            <wp:effectExtent l="0" t="0" r="0" b="0"/>
            <wp:docPr id="10637459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45953" name="Picture 10"/>
                    <pic:cNvPicPr>
                      <a:picLocks noChangeAspect="1" noChangeArrowheads="1"/>
                    </pic:cNvPicPr>
                  </pic:nvPicPr>
                  <pic:blipFill>
                    <a:blip r:embed="rId20"/>
                    <a:stretch>
                      <a:fillRect/>
                    </a:stretch>
                  </pic:blipFill>
                  <pic:spPr bwMode="auto">
                    <a:xfrm>
                      <a:off x="0" y="0"/>
                      <a:ext cx="6406400" cy="4752000"/>
                    </a:xfrm>
                    <a:prstGeom prst="rect">
                      <a:avLst/>
                    </a:prstGeom>
                    <a:noFill/>
                    <a:ln>
                      <a:noFill/>
                    </a:ln>
                  </pic:spPr>
                </pic:pic>
              </a:graphicData>
            </a:graphic>
          </wp:inline>
        </w:drawing>
      </w:r>
    </w:p>
    <w:p w14:paraId="3F587CA2" w14:textId="5D62174B" w:rsidR="00820618" w:rsidRPr="00820618" w:rsidRDefault="00820618" w:rsidP="00236429">
      <w:pPr>
        <w:spacing w:before="100" w:after="100"/>
        <w:rPr>
          <w:rFonts w:cs="Arial"/>
          <w:noProof/>
        </w:rPr>
      </w:pPr>
    </w:p>
    <w:p w14:paraId="072C935B" w14:textId="77777777" w:rsidR="00336720" w:rsidRDefault="00D24CEB" w:rsidP="00236429">
      <w:pPr>
        <w:spacing w:before="100" w:after="100"/>
      </w:pPr>
      <w:r>
        <w:t xml:space="preserve"> </w:t>
      </w:r>
    </w:p>
    <w:p w14:paraId="15B7C586" w14:textId="77777777" w:rsidR="00336720" w:rsidRDefault="00336720" w:rsidP="00236429">
      <w:pPr>
        <w:spacing w:before="100" w:after="100"/>
      </w:pPr>
    </w:p>
    <w:p w14:paraId="62342424" w14:textId="77777777" w:rsidR="00154021" w:rsidRDefault="00154021" w:rsidP="00236429">
      <w:pPr>
        <w:spacing w:before="100" w:after="100"/>
      </w:pPr>
    </w:p>
    <w:p w14:paraId="074F51C0" w14:textId="77777777" w:rsidR="00336720" w:rsidRDefault="00336720" w:rsidP="00236429">
      <w:pPr>
        <w:spacing w:before="100" w:after="100"/>
      </w:pPr>
    </w:p>
    <w:p w14:paraId="5E88D5B6" w14:textId="77777777" w:rsidR="00336720" w:rsidRDefault="00336720" w:rsidP="00236429">
      <w:pPr>
        <w:spacing w:before="100" w:after="100"/>
      </w:pPr>
    </w:p>
    <w:p w14:paraId="0002938F" w14:textId="77777777" w:rsidR="00632596" w:rsidRDefault="00632596" w:rsidP="00236429">
      <w:pPr>
        <w:spacing w:before="100" w:after="100"/>
      </w:pPr>
    </w:p>
    <w:p w14:paraId="122AAA5F" w14:textId="77777777" w:rsidR="00236429" w:rsidRDefault="00236429" w:rsidP="00236429">
      <w:pPr>
        <w:spacing w:before="100" w:after="100"/>
      </w:pPr>
    </w:p>
    <w:p w14:paraId="581736D7" w14:textId="77777777" w:rsidR="00DD5A12" w:rsidRDefault="00DD5A12" w:rsidP="00236429">
      <w:pPr>
        <w:pStyle w:val="p1"/>
        <w:spacing w:before="120" w:after="120" w:line="276" w:lineRule="auto"/>
        <w:rPr>
          <w:b/>
          <w:bCs/>
          <w:color w:val="FC4420"/>
          <w:sz w:val="28"/>
          <w:szCs w:val="28"/>
        </w:rPr>
      </w:pPr>
    </w:p>
    <w:p w14:paraId="235DF555" w14:textId="1481F16A" w:rsidR="006F787F" w:rsidRPr="00F01636" w:rsidRDefault="006F787F" w:rsidP="00236429">
      <w:pPr>
        <w:pStyle w:val="p1"/>
        <w:spacing w:before="120" w:after="120" w:line="276" w:lineRule="auto"/>
        <w:rPr>
          <w:b/>
          <w:bCs/>
          <w:color w:val="FC4420"/>
          <w:sz w:val="28"/>
          <w:szCs w:val="28"/>
        </w:rPr>
      </w:pPr>
      <w:r w:rsidRPr="00F01636">
        <w:rPr>
          <w:b/>
          <w:bCs/>
          <w:color w:val="FC4420"/>
          <w:sz w:val="28"/>
          <w:szCs w:val="28"/>
        </w:rPr>
        <w:lastRenderedPageBreak/>
        <w:t>Things to consider when designing industry placements</w:t>
      </w:r>
    </w:p>
    <w:p w14:paraId="77C2DD38" w14:textId="77777777" w:rsidR="00C81F9E" w:rsidRPr="006F0B55" w:rsidRDefault="00C81F9E" w:rsidP="00236429">
      <w:pPr>
        <w:spacing w:before="120" w:after="120"/>
        <w:rPr>
          <w:rFonts w:eastAsia="Times New Roman" w:cs="Arial"/>
          <w:color w:val="0C0C0C"/>
          <w:sz w:val="24"/>
          <w:szCs w:val="24"/>
          <w:lang w:val="en-GB" w:eastAsia="en-GB"/>
        </w:rPr>
      </w:pPr>
      <w:r w:rsidRPr="006F0B55">
        <w:rPr>
          <w:rFonts w:eastAsia="Times New Roman" w:cs="Arial"/>
          <w:color w:val="0C0C0C"/>
          <w:sz w:val="24"/>
          <w:szCs w:val="24"/>
          <w:lang w:val="en-GB" w:eastAsia="en-GB"/>
        </w:rPr>
        <w:t>The T Level industry placement guidance provides a range of delivery approaches that enable providers to design creative and inclusive industry placements. Careful planning helps ensure these approaches are used appropriately while continuing to meet the core industry placement requirements.</w:t>
      </w:r>
    </w:p>
    <w:p w14:paraId="0E4FD8A7" w14:textId="5A3331CF" w:rsidR="007720B5" w:rsidRPr="006F0B55" w:rsidRDefault="007720B5" w:rsidP="00236429">
      <w:pPr>
        <w:pStyle w:val="p1"/>
        <w:spacing w:before="120" w:after="120" w:line="276" w:lineRule="auto"/>
        <w:rPr>
          <w:sz w:val="24"/>
          <w:szCs w:val="24"/>
        </w:rPr>
      </w:pPr>
      <w:r w:rsidRPr="006F0B55">
        <w:rPr>
          <w:b/>
          <w:bCs/>
          <w:sz w:val="24"/>
          <w:szCs w:val="24"/>
        </w:rPr>
        <w:t xml:space="preserve">Overcomplication of models: </w:t>
      </w:r>
      <w:r w:rsidRPr="006F0B55">
        <w:rPr>
          <w:sz w:val="24"/>
          <w:szCs w:val="24"/>
        </w:rPr>
        <w:t xml:space="preserve">Combining too many </w:t>
      </w:r>
      <w:r w:rsidR="00C81F9E" w:rsidRPr="006F0B55">
        <w:rPr>
          <w:sz w:val="24"/>
          <w:szCs w:val="24"/>
        </w:rPr>
        <w:t>approaches</w:t>
      </w:r>
      <w:r w:rsidRPr="006F0B55">
        <w:rPr>
          <w:sz w:val="24"/>
          <w:szCs w:val="24"/>
        </w:rPr>
        <w:t xml:space="preserve"> can create overly complex placements that are difficult to manage or explain to employers and students. Simplicity and clarity should remain a priority.</w:t>
      </w:r>
    </w:p>
    <w:p w14:paraId="677D5345" w14:textId="60AF1DF9" w:rsidR="007720B5" w:rsidRPr="006F0B55" w:rsidRDefault="007720B5" w:rsidP="00236429">
      <w:pPr>
        <w:pStyle w:val="p1"/>
        <w:spacing w:before="120" w:after="120" w:line="276" w:lineRule="auto"/>
        <w:rPr>
          <w:sz w:val="24"/>
          <w:szCs w:val="24"/>
        </w:rPr>
      </w:pPr>
      <w:r w:rsidRPr="006F0B55">
        <w:rPr>
          <w:b/>
          <w:bCs/>
          <w:sz w:val="24"/>
          <w:szCs w:val="24"/>
        </w:rPr>
        <w:t xml:space="preserve">Placement fragmentation: </w:t>
      </w:r>
      <w:r w:rsidRPr="006F0B55">
        <w:rPr>
          <w:sz w:val="24"/>
          <w:szCs w:val="24"/>
        </w:rPr>
        <w:t>Spreading hours across multiple settings (e.g. tasters, projects, several employers) may reduce continuity for the student, limiting opportunities for deeper skill development and relationship building.</w:t>
      </w:r>
    </w:p>
    <w:p w14:paraId="033197CB" w14:textId="7B1439F9" w:rsidR="006F787F" w:rsidRPr="006F0B55" w:rsidRDefault="007720B5" w:rsidP="00236429">
      <w:pPr>
        <w:pStyle w:val="p1"/>
        <w:spacing w:before="120" w:after="120" w:line="276" w:lineRule="auto"/>
        <w:rPr>
          <w:sz w:val="24"/>
          <w:szCs w:val="24"/>
        </w:rPr>
      </w:pPr>
      <w:r w:rsidRPr="006F0B55">
        <w:rPr>
          <w:b/>
          <w:bCs/>
          <w:sz w:val="24"/>
          <w:szCs w:val="24"/>
        </w:rPr>
        <w:t xml:space="preserve">Supervision and oversight: </w:t>
      </w:r>
      <w:r w:rsidRPr="006F0B55">
        <w:rPr>
          <w:sz w:val="24"/>
          <w:szCs w:val="24"/>
        </w:rPr>
        <w:t xml:space="preserve">Ensuring clear, consistent supervision across all elements of </w:t>
      </w:r>
      <w:r w:rsidR="00C81F9E" w:rsidRPr="006F0B55">
        <w:rPr>
          <w:sz w:val="24"/>
          <w:szCs w:val="24"/>
        </w:rPr>
        <w:t>the</w:t>
      </w:r>
      <w:r w:rsidRPr="006F0B55">
        <w:rPr>
          <w:sz w:val="24"/>
          <w:szCs w:val="24"/>
        </w:rPr>
        <w:t xml:space="preserve"> placement can be challenging – particularly if students are completing hours remotely or at multiple sites.</w:t>
      </w:r>
      <w:r w:rsidR="006F787F" w:rsidRPr="006F0B55">
        <w:rPr>
          <w:sz w:val="24"/>
          <w:szCs w:val="24"/>
        </w:rPr>
        <w:t xml:space="preserve">  Agree review meetings and employer feedback arrangements before the placement begins. </w:t>
      </w:r>
    </w:p>
    <w:p w14:paraId="05E1FC0F" w14:textId="532D60F8" w:rsidR="007720B5" w:rsidRPr="006F0B55" w:rsidRDefault="007720B5" w:rsidP="00236429">
      <w:pPr>
        <w:pStyle w:val="p1"/>
        <w:spacing w:before="120" w:after="120" w:line="276" w:lineRule="auto"/>
        <w:rPr>
          <w:sz w:val="24"/>
          <w:szCs w:val="24"/>
        </w:rPr>
      </w:pPr>
      <w:r w:rsidRPr="006F0B55">
        <w:rPr>
          <w:b/>
          <w:bCs/>
          <w:sz w:val="24"/>
          <w:szCs w:val="24"/>
        </w:rPr>
        <w:t xml:space="preserve">Remote work risks: </w:t>
      </w:r>
      <w:r w:rsidRPr="006F0B55">
        <w:rPr>
          <w:sz w:val="24"/>
          <w:szCs w:val="24"/>
        </w:rPr>
        <w:t>While remote work offers convenience and accessibility, it may reduce exposure to workplace culture and direct employer interaction. It’s important that remote tasks are well-structured, purposeful, and regularly reviewed.</w:t>
      </w:r>
    </w:p>
    <w:p w14:paraId="1EAF36AC" w14:textId="790AAE35" w:rsidR="007720B5" w:rsidRPr="006F0B55" w:rsidRDefault="007720B5" w:rsidP="00236429">
      <w:pPr>
        <w:spacing w:before="120" w:after="120"/>
        <w:rPr>
          <w:rFonts w:eastAsia="Times New Roman" w:cs="Arial"/>
          <w:color w:val="0C0C0C"/>
          <w:sz w:val="24"/>
          <w:szCs w:val="24"/>
          <w:lang w:val="en-GB" w:eastAsia="en-GB"/>
        </w:rPr>
      </w:pPr>
      <w:r w:rsidRPr="006F0B55">
        <w:rPr>
          <w:rFonts w:cs="Arial"/>
          <w:b/>
          <w:bCs/>
          <w:sz w:val="24"/>
          <w:szCs w:val="24"/>
        </w:rPr>
        <w:t>Misalignment with learning goals:</w:t>
      </w:r>
      <w:r w:rsidRPr="006F0B55">
        <w:rPr>
          <w:b/>
          <w:bCs/>
          <w:sz w:val="24"/>
          <w:szCs w:val="24"/>
        </w:rPr>
        <w:t xml:space="preserve"> </w:t>
      </w:r>
      <w:r w:rsidR="001106FF" w:rsidRPr="006F0B55">
        <w:rPr>
          <w:rFonts w:eastAsia="Times New Roman" w:cs="Arial"/>
          <w:color w:val="0C0C0C"/>
          <w:sz w:val="24"/>
          <w:szCs w:val="24"/>
          <w:lang w:val="en-GB" w:eastAsia="en-GB"/>
        </w:rPr>
        <w:t xml:space="preserve">Some arrangements may fall short of student expectations – particularly where learners have a clear interest in a specific occupation – or may not provide enough opportunities to apply their technical knowledge meaningfully. It’s essential that placements remain aligned to the T Level’s learning </w:t>
      </w:r>
      <w:r w:rsidR="006F787F" w:rsidRPr="006F0B55">
        <w:rPr>
          <w:rFonts w:eastAsia="Times New Roman" w:cs="Arial"/>
          <w:color w:val="0C0C0C"/>
          <w:sz w:val="24"/>
          <w:szCs w:val="24"/>
          <w:lang w:val="en-GB" w:eastAsia="en-GB"/>
        </w:rPr>
        <w:t>goals</w:t>
      </w:r>
      <w:r w:rsidR="001106FF" w:rsidRPr="006F0B55">
        <w:rPr>
          <w:rFonts w:eastAsia="Times New Roman" w:cs="Arial"/>
          <w:color w:val="0C0C0C"/>
          <w:sz w:val="24"/>
          <w:szCs w:val="24"/>
          <w:lang w:val="en-GB" w:eastAsia="en-GB"/>
        </w:rPr>
        <w:t xml:space="preserve"> and support each student’s progression.</w:t>
      </w:r>
    </w:p>
    <w:p w14:paraId="42EF566B" w14:textId="18B9D95F" w:rsidR="006F787F" w:rsidRPr="006F0B55" w:rsidRDefault="007720B5" w:rsidP="00236429">
      <w:pPr>
        <w:pStyle w:val="p1"/>
        <w:spacing w:before="120" w:after="120" w:line="276" w:lineRule="auto"/>
        <w:rPr>
          <w:sz w:val="24"/>
          <w:szCs w:val="24"/>
        </w:rPr>
      </w:pPr>
      <w:r w:rsidRPr="006F0B55">
        <w:rPr>
          <w:b/>
          <w:bCs/>
          <w:sz w:val="24"/>
          <w:szCs w:val="24"/>
        </w:rPr>
        <w:t xml:space="preserve">Compliance and audit risk: </w:t>
      </w:r>
      <w:r w:rsidRPr="006F0B55">
        <w:rPr>
          <w:sz w:val="24"/>
          <w:szCs w:val="24"/>
        </w:rPr>
        <w:t xml:space="preserve">When using blended models, there is a greater need to maintain accurate tracking and documentation to demonstrate compliance with guidance, </w:t>
      </w:r>
      <w:r w:rsidR="003A7B22" w:rsidRPr="006F0B55">
        <w:rPr>
          <w:sz w:val="24"/>
          <w:szCs w:val="24"/>
        </w:rPr>
        <w:t xml:space="preserve">the recommended approach to remote hours, the rationale for any higher proportion in sectors where remote working is established practice, and supervision arrangements.  </w:t>
      </w:r>
      <w:r w:rsidR="006F787F" w:rsidRPr="006F0B55">
        <w:rPr>
          <w:sz w:val="24"/>
          <w:szCs w:val="24"/>
        </w:rPr>
        <w:t>Documentation should clearly record placement objectives, learning goals, typical activities and employer reviews.</w:t>
      </w:r>
    </w:p>
    <w:p w14:paraId="0F922DE6" w14:textId="71FC0A27" w:rsidR="00134608" w:rsidRDefault="007720B5" w:rsidP="00236429">
      <w:pPr>
        <w:pStyle w:val="p1"/>
        <w:spacing w:before="120" w:after="120" w:line="276" w:lineRule="auto"/>
        <w:rPr>
          <w:sz w:val="24"/>
          <w:szCs w:val="24"/>
        </w:rPr>
      </w:pPr>
      <w:r w:rsidRPr="006F0B55">
        <w:rPr>
          <w:b/>
          <w:bCs/>
          <w:sz w:val="24"/>
          <w:szCs w:val="24"/>
        </w:rPr>
        <w:t>Employer confusion or uncertainty:</w:t>
      </w:r>
      <w:r w:rsidRPr="006F0B55">
        <w:rPr>
          <w:sz w:val="24"/>
          <w:szCs w:val="24"/>
        </w:rPr>
        <w:t xml:space="preserve"> If employers are unfamiliar with flexible models (e.g. small team projects or remote work), they may be hesitant to engage. </w:t>
      </w:r>
      <w:r w:rsidR="006F787F" w:rsidRPr="006F0B55">
        <w:rPr>
          <w:sz w:val="24"/>
          <w:szCs w:val="24"/>
        </w:rPr>
        <w:t xml:space="preserve"> </w:t>
      </w:r>
      <w:r w:rsidR="00C81F9E" w:rsidRPr="006F0B55">
        <w:rPr>
          <w:sz w:val="24"/>
          <w:szCs w:val="24"/>
        </w:rPr>
        <w:t>Providers should work with employers to understand how different delivery approaches work, what employers are responsible for, and how the placement will continue to meet the core industry placement requirements.</w:t>
      </w:r>
    </w:p>
    <w:p w14:paraId="4EAE37A6" w14:textId="77777777" w:rsidR="00236429" w:rsidRDefault="00236429" w:rsidP="00236429">
      <w:pPr>
        <w:pStyle w:val="p1"/>
        <w:spacing w:before="120" w:after="120" w:line="276" w:lineRule="auto"/>
        <w:rPr>
          <w:b/>
          <w:bCs/>
          <w:color w:val="FC4420"/>
          <w:sz w:val="28"/>
          <w:szCs w:val="28"/>
        </w:rPr>
      </w:pPr>
    </w:p>
    <w:p w14:paraId="442A3F66" w14:textId="77777777" w:rsidR="00632596" w:rsidRDefault="00632596" w:rsidP="00236429">
      <w:pPr>
        <w:pStyle w:val="p1"/>
        <w:spacing w:before="120" w:after="120" w:line="276" w:lineRule="auto"/>
        <w:rPr>
          <w:b/>
          <w:bCs/>
          <w:color w:val="FC4420"/>
          <w:sz w:val="28"/>
          <w:szCs w:val="28"/>
        </w:rPr>
      </w:pPr>
    </w:p>
    <w:p w14:paraId="1118F58A" w14:textId="49D9D0C0" w:rsidR="00617A02" w:rsidRPr="00F01636" w:rsidRDefault="00A40872" w:rsidP="00236429">
      <w:pPr>
        <w:pStyle w:val="p1"/>
        <w:spacing w:before="120" w:after="120" w:line="276" w:lineRule="auto"/>
        <w:rPr>
          <w:b/>
          <w:bCs/>
          <w:color w:val="FC4420"/>
          <w:sz w:val="28"/>
          <w:szCs w:val="28"/>
        </w:rPr>
      </w:pPr>
      <w:r w:rsidRPr="00F01636">
        <w:rPr>
          <w:b/>
          <w:bCs/>
          <w:color w:val="FC4420"/>
          <w:sz w:val="28"/>
          <w:szCs w:val="28"/>
        </w:rPr>
        <w:lastRenderedPageBreak/>
        <w:t>Helping employers say ye</w:t>
      </w:r>
      <w:r w:rsidR="00617A02" w:rsidRPr="00F01636">
        <w:rPr>
          <w:b/>
          <w:bCs/>
          <w:color w:val="FC4420"/>
          <w:sz w:val="28"/>
          <w:szCs w:val="28"/>
        </w:rPr>
        <w:t>s</w:t>
      </w:r>
    </w:p>
    <w:p w14:paraId="1FEE465A" w14:textId="074AE260" w:rsidR="00167AA7" w:rsidRDefault="001106FF" w:rsidP="00236429">
      <w:pPr>
        <w:spacing w:before="120" w:after="120"/>
        <w:rPr>
          <w:rFonts w:eastAsia="Times New Roman" w:cs="Arial"/>
          <w:color w:val="0E0E0E"/>
          <w:sz w:val="24"/>
          <w:szCs w:val="24"/>
          <w:lang w:val="en-GB" w:eastAsia="en-GB"/>
        </w:rPr>
      </w:pPr>
      <w:r w:rsidRPr="006F0B55">
        <w:rPr>
          <w:rFonts w:eastAsia="Times New Roman" w:cs="Arial"/>
          <w:color w:val="0E0E0E"/>
          <w:sz w:val="24"/>
          <w:szCs w:val="24"/>
          <w:lang w:val="en-GB" w:eastAsia="en-GB"/>
        </w:rPr>
        <w:t xml:space="preserve">There’s more than one way to get involved. These flexible approaches make it easier for employers of all sizes to offer meaningful T Level placement opportunities </w:t>
      </w:r>
      <w:r w:rsidR="007C2D38" w:rsidRPr="006F0B55">
        <w:rPr>
          <w:rFonts w:eastAsia="Times New Roman" w:cs="Arial"/>
          <w:color w:val="0E0E0E"/>
          <w:sz w:val="24"/>
          <w:szCs w:val="24"/>
          <w:lang w:val="en-GB" w:eastAsia="en-GB"/>
        </w:rPr>
        <w:t>-</w:t>
      </w:r>
      <w:r w:rsidRPr="006F0B55">
        <w:rPr>
          <w:rFonts w:eastAsia="Times New Roman" w:cs="Arial"/>
          <w:color w:val="0E0E0E"/>
          <w:sz w:val="24"/>
          <w:szCs w:val="24"/>
          <w:lang w:val="en-GB" w:eastAsia="en-GB"/>
        </w:rPr>
        <w:t xml:space="preserve"> even if a full placement isn’t possible right now.</w:t>
      </w:r>
    </w:p>
    <w:p w14:paraId="4F37FE48" w14:textId="77777777" w:rsidR="00341519" w:rsidRPr="006F0B55" w:rsidRDefault="00341519" w:rsidP="00236429">
      <w:pPr>
        <w:spacing w:before="120" w:after="120"/>
        <w:rPr>
          <w:rFonts w:eastAsia="Times New Roman" w:cs="Arial"/>
          <w:color w:val="0E0E0E"/>
          <w:sz w:val="24"/>
          <w:szCs w:val="24"/>
          <w:lang w:val="en-GB" w:eastAsia="en-GB"/>
        </w:rPr>
      </w:pPr>
    </w:p>
    <w:p w14:paraId="4C830BBC" w14:textId="666447A4" w:rsidR="00167AA7" w:rsidRPr="006F0B55" w:rsidRDefault="00167AA7" w:rsidP="00236429">
      <w:pPr>
        <w:pStyle w:val="p1"/>
        <w:spacing w:before="120" w:after="120" w:line="276" w:lineRule="auto"/>
        <w:rPr>
          <w:b/>
          <w:bCs/>
          <w:color w:val="FC4420"/>
          <w:sz w:val="24"/>
          <w:szCs w:val="24"/>
        </w:rPr>
      </w:pPr>
      <w:r w:rsidRPr="006F0B55">
        <w:rPr>
          <w:b/>
          <w:bCs/>
          <w:color w:val="FC4420"/>
          <w:sz w:val="24"/>
          <w:szCs w:val="24"/>
        </w:rPr>
        <w:t>■ Not ready for a full placement?</w:t>
      </w:r>
    </w:p>
    <w:p w14:paraId="2F3214E5" w14:textId="54844DF5" w:rsidR="00793186" w:rsidRPr="00236429" w:rsidRDefault="0004267F" w:rsidP="00236429">
      <w:pPr>
        <w:pStyle w:val="IntenseQuote"/>
        <w:pBdr>
          <w:bottom w:val="none" w:sz="0" w:space="0" w:color="auto"/>
        </w:pBdr>
        <w:spacing w:before="120" w:after="120"/>
        <w:ind w:left="0"/>
        <w:rPr>
          <w:rFonts w:cs="Arial"/>
          <w:b w:val="0"/>
          <w:bCs w:val="0"/>
          <w:color w:val="auto"/>
          <w:sz w:val="24"/>
          <w:szCs w:val="24"/>
        </w:rPr>
      </w:pPr>
      <w:r w:rsidRPr="00236429">
        <w:rPr>
          <w:rFonts w:cs="Arial"/>
          <w:b w:val="0"/>
          <w:bCs w:val="0"/>
          <w:color w:val="auto"/>
          <w:sz w:val="24"/>
          <w:szCs w:val="24"/>
        </w:rPr>
        <w:t>Start with a work taster</w:t>
      </w:r>
      <w:r w:rsidR="00D000FC" w:rsidRPr="00236429">
        <w:rPr>
          <w:rFonts w:cs="Arial"/>
          <w:b w:val="0"/>
          <w:bCs w:val="0"/>
          <w:color w:val="auto"/>
          <w:sz w:val="24"/>
          <w:szCs w:val="24"/>
        </w:rPr>
        <w:t>. W</w:t>
      </w:r>
      <w:r w:rsidR="008A295E" w:rsidRPr="00236429">
        <w:rPr>
          <w:rFonts w:cs="Arial"/>
          <w:b w:val="0"/>
          <w:bCs w:val="0"/>
          <w:color w:val="auto"/>
          <w:sz w:val="24"/>
          <w:szCs w:val="24"/>
        </w:rPr>
        <w:t xml:space="preserve">ork taster activities </w:t>
      </w:r>
      <w:r w:rsidR="00D000FC" w:rsidRPr="00236429">
        <w:rPr>
          <w:rFonts w:cs="Arial"/>
          <w:b w:val="0"/>
          <w:bCs w:val="0"/>
          <w:color w:val="auto"/>
          <w:sz w:val="24"/>
          <w:szCs w:val="24"/>
        </w:rPr>
        <w:t xml:space="preserve">can provide a great introduction to your organisation </w:t>
      </w:r>
      <w:r w:rsidR="006F0B55" w:rsidRPr="00236429">
        <w:rPr>
          <w:rFonts w:cs="Arial"/>
          <w:b w:val="0"/>
          <w:bCs w:val="0"/>
          <w:color w:val="auto"/>
          <w:sz w:val="24"/>
          <w:szCs w:val="24"/>
        </w:rPr>
        <w:t xml:space="preserve">and </w:t>
      </w:r>
      <w:r w:rsidR="008A295E" w:rsidRPr="00236429">
        <w:rPr>
          <w:rFonts w:cs="Arial"/>
          <w:b w:val="0"/>
          <w:bCs w:val="0"/>
          <w:color w:val="auto"/>
          <w:sz w:val="24"/>
          <w:szCs w:val="24"/>
        </w:rPr>
        <w:t xml:space="preserve">should </w:t>
      </w:r>
      <w:r w:rsidRPr="00236429">
        <w:rPr>
          <w:rFonts w:cs="Arial"/>
          <w:b w:val="0"/>
          <w:bCs w:val="0"/>
          <w:color w:val="auto"/>
          <w:sz w:val="24"/>
          <w:szCs w:val="24"/>
        </w:rPr>
        <w:t xml:space="preserve">make up no more than </w:t>
      </w:r>
      <w:r w:rsidR="008A295E" w:rsidRPr="00236429">
        <w:rPr>
          <w:rFonts w:cs="Arial"/>
          <w:b w:val="0"/>
          <w:bCs w:val="0"/>
          <w:color w:val="auto"/>
          <w:sz w:val="24"/>
          <w:szCs w:val="24"/>
        </w:rPr>
        <w:t>35 hours</w:t>
      </w:r>
      <w:r w:rsidRPr="00236429">
        <w:rPr>
          <w:rFonts w:cs="Arial"/>
          <w:b w:val="0"/>
          <w:bCs w:val="0"/>
          <w:color w:val="auto"/>
          <w:sz w:val="24"/>
          <w:szCs w:val="24"/>
        </w:rPr>
        <w:t xml:space="preserve"> of </w:t>
      </w:r>
      <w:r w:rsidR="006F0B55" w:rsidRPr="00236429">
        <w:rPr>
          <w:rFonts w:cs="Arial"/>
          <w:b w:val="0"/>
          <w:bCs w:val="0"/>
          <w:color w:val="auto"/>
          <w:sz w:val="24"/>
          <w:szCs w:val="24"/>
        </w:rPr>
        <w:t>the industry</w:t>
      </w:r>
      <w:r w:rsidRPr="00236429">
        <w:rPr>
          <w:rFonts w:cs="Arial"/>
          <w:b w:val="0"/>
          <w:bCs w:val="0"/>
          <w:color w:val="auto"/>
          <w:sz w:val="24"/>
          <w:szCs w:val="24"/>
        </w:rPr>
        <w:t xml:space="preserve"> placement. </w:t>
      </w:r>
    </w:p>
    <w:p w14:paraId="48DC324B" w14:textId="06F0C5B3" w:rsidR="007642CD" w:rsidRPr="006F0B55" w:rsidRDefault="008B0EF7" w:rsidP="00236429">
      <w:pPr>
        <w:pStyle w:val="IntenseQuote"/>
        <w:pBdr>
          <w:bottom w:val="none" w:sz="0" w:space="0" w:color="auto"/>
        </w:pBdr>
        <w:spacing w:before="120" w:after="120"/>
        <w:ind w:left="0"/>
        <w:rPr>
          <w:rFonts w:eastAsia="Times New Roman" w:cs="Arial"/>
          <w:i w:val="0"/>
          <w:iCs w:val="0"/>
          <w:color w:val="FC4420"/>
          <w:sz w:val="24"/>
          <w:szCs w:val="24"/>
          <w:lang w:val="en-GB" w:eastAsia="en-GB"/>
        </w:rPr>
      </w:pPr>
      <w:r w:rsidRPr="006F0B55">
        <w:rPr>
          <w:rFonts w:eastAsia="Times New Roman" w:cs="Arial"/>
          <w:color w:val="FC4420"/>
          <w:sz w:val="24"/>
          <w:szCs w:val="24"/>
          <w:lang w:val="en-GB" w:eastAsia="en-GB"/>
        </w:rPr>
        <w:t>■</w:t>
      </w:r>
      <w:r w:rsidRPr="006F0B55">
        <w:rPr>
          <w:rFonts w:eastAsia="Times New Roman" w:cs="Arial"/>
          <w:i w:val="0"/>
          <w:iCs w:val="0"/>
          <w:color w:val="FC4420"/>
          <w:sz w:val="24"/>
          <w:szCs w:val="24"/>
          <w:lang w:val="en-GB" w:eastAsia="en-GB"/>
        </w:rPr>
        <w:t xml:space="preserve"> </w:t>
      </w:r>
      <w:r w:rsidR="008A295E" w:rsidRPr="006F0B55">
        <w:rPr>
          <w:rFonts w:eastAsia="Times New Roman" w:cs="Arial"/>
          <w:i w:val="0"/>
          <w:iCs w:val="0"/>
          <w:color w:val="FC4420"/>
          <w:sz w:val="24"/>
          <w:szCs w:val="24"/>
          <w:lang w:val="en-GB" w:eastAsia="en-GB"/>
        </w:rPr>
        <w:t xml:space="preserve">Can some tasks be done remotely? </w:t>
      </w:r>
    </w:p>
    <w:p w14:paraId="2F586A89" w14:textId="3034CDF7" w:rsidR="00793186" w:rsidRPr="00236429" w:rsidRDefault="008A295E" w:rsidP="00236429">
      <w:pPr>
        <w:pStyle w:val="IntenseQuote"/>
        <w:pBdr>
          <w:bottom w:val="none" w:sz="0" w:space="0" w:color="auto"/>
        </w:pBdr>
        <w:spacing w:before="120" w:after="120"/>
        <w:ind w:left="0"/>
        <w:rPr>
          <w:rFonts w:cs="Arial"/>
          <w:b w:val="0"/>
          <w:bCs w:val="0"/>
          <w:color w:val="auto"/>
          <w:sz w:val="24"/>
          <w:szCs w:val="24"/>
        </w:rPr>
      </w:pPr>
      <w:r w:rsidRPr="00236429">
        <w:rPr>
          <w:rFonts w:cs="Arial"/>
          <w:b w:val="0"/>
          <w:bCs w:val="0"/>
          <w:color w:val="auto"/>
          <w:sz w:val="24"/>
          <w:szCs w:val="24"/>
        </w:rPr>
        <w:t>Remote hours can count where the employer is set up to support remote work, the student has a suitable environment, and supervision, safeguarding and communication arrangements are clear.</w:t>
      </w:r>
    </w:p>
    <w:p w14:paraId="76461CF6" w14:textId="05AED9CB" w:rsidR="007642CD" w:rsidRPr="006F0B55" w:rsidRDefault="008B0EF7" w:rsidP="00236429">
      <w:pPr>
        <w:pStyle w:val="IntenseQuote"/>
        <w:pBdr>
          <w:bottom w:val="none" w:sz="0" w:space="0" w:color="auto"/>
        </w:pBdr>
        <w:spacing w:before="120" w:after="120"/>
        <w:ind w:left="0"/>
        <w:rPr>
          <w:rFonts w:eastAsia="Times New Roman" w:cs="Arial"/>
          <w:i w:val="0"/>
          <w:iCs w:val="0"/>
          <w:color w:val="FC4420"/>
          <w:sz w:val="24"/>
          <w:szCs w:val="24"/>
          <w:lang w:val="en-GB" w:eastAsia="en-GB"/>
        </w:rPr>
      </w:pPr>
      <w:r w:rsidRPr="006F0B55">
        <w:rPr>
          <w:rFonts w:eastAsia="Times New Roman" w:cs="Arial"/>
          <w:color w:val="FC4420"/>
          <w:sz w:val="24"/>
          <w:szCs w:val="24"/>
          <w:lang w:val="en-GB" w:eastAsia="en-GB"/>
        </w:rPr>
        <w:t xml:space="preserve">■ </w:t>
      </w:r>
      <w:r w:rsidR="008A295E" w:rsidRPr="006F0B55">
        <w:rPr>
          <w:rFonts w:eastAsia="Times New Roman" w:cs="Arial"/>
          <w:i w:val="0"/>
          <w:iCs w:val="0"/>
          <w:color w:val="FC4420"/>
          <w:sz w:val="24"/>
          <w:szCs w:val="24"/>
          <w:lang w:val="en-GB" w:eastAsia="en-GB"/>
        </w:rPr>
        <w:t xml:space="preserve">Got a real challenge to solve? </w:t>
      </w:r>
    </w:p>
    <w:p w14:paraId="25C57FDE" w14:textId="5F3B28EA" w:rsidR="008A295E" w:rsidRPr="00236429" w:rsidRDefault="008A295E" w:rsidP="00236429">
      <w:pPr>
        <w:pStyle w:val="IntenseQuote"/>
        <w:pBdr>
          <w:bottom w:val="none" w:sz="0" w:space="0" w:color="auto"/>
        </w:pBdr>
        <w:spacing w:before="120" w:after="120"/>
        <w:ind w:left="0"/>
        <w:rPr>
          <w:rFonts w:cs="Arial"/>
          <w:b w:val="0"/>
          <w:bCs w:val="0"/>
          <w:color w:val="auto"/>
          <w:sz w:val="24"/>
          <w:szCs w:val="24"/>
        </w:rPr>
      </w:pPr>
      <w:r w:rsidRPr="00236429">
        <w:rPr>
          <w:rFonts w:cs="Arial"/>
          <w:b w:val="0"/>
          <w:bCs w:val="0"/>
          <w:color w:val="auto"/>
          <w:sz w:val="24"/>
          <w:szCs w:val="24"/>
        </w:rPr>
        <w:t xml:space="preserve">A small team project may count </w:t>
      </w:r>
      <w:r w:rsidR="001F5695" w:rsidRPr="00236429">
        <w:rPr>
          <w:rFonts w:cs="Arial"/>
          <w:b w:val="0"/>
          <w:bCs w:val="0"/>
          <w:color w:val="auto"/>
          <w:sz w:val="24"/>
          <w:szCs w:val="24"/>
        </w:rPr>
        <w:t xml:space="preserve">towards the placement </w:t>
      </w:r>
      <w:r w:rsidRPr="00236429">
        <w:rPr>
          <w:rFonts w:cs="Arial"/>
          <w:b w:val="0"/>
          <w:bCs w:val="0"/>
          <w:color w:val="auto"/>
          <w:sz w:val="24"/>
          <w:szCs w:val="24"/>
        </w:rPr>
        <w:t xml:space="preserve">where an external employer oversees it, each student has a clear role and responsibilities, progress is monitored against learning </w:t>
      </w:r>
      <w:r w:rsidR="00154021" w:rsidRPr="00236429">
        <w:rPr>
          <w:rFonts w:cs="Arial"/>
          <w:b w:val="0"/>
          <w:bCs w:val="0"/>
          <w:color w:val="auto"/>
          <w:sz w:val="24"/>
          <w:szCs w:val="24"/>
        </w:rPr>
        <w:t>goals,</w:t>
      </w:r>
      <w:r w:rsidRPr="00236429">
        <w:rPr>
          <w:rFonts w:cs="Arial"/>
          <w:b w:val="0"/>
          <w:bCs w:val="0"/>
          <w:color w:val="auto"/>
          <w:sz w:val="24"/>
          <w:szCs w:val="24"/>
        </w:rPr>
        <w:t xml:space="preserve"> and the employer runs at least one formal review meeting </w:t>
      </w:r>
      <w:r w:rsidR="00C53EAB" w:rsidRPr="00236429">
        <w:rPr>
          <w:rFonts w:cs="Arial"/>
          <w:b w:val="0"/>
          <w:bCs w:val="0"/>
          <w:color w:val="auto"/>
          <w:sz w:val="24"/>
          <w:szCs w:val="24"/>
        </w:rPr>
        <w:t xml:space="preserve">with </w:t>
      </w:r>
      <w:r w:rsidRPr="00236429">
        <w:rPr>
          <w:rFonts w:cs="Arial"/>
          <w:b w:val="0"/>
          <w:bCs w:val="0"/>
          <w:color w:val="auto"/>
          <w:sz w:val="24"/>
          <w:szCs w:val="24"/>
        </w:rPr>
        <w:t>each student.</w:t>
      </w:r>
    </w:p>
    <w:p w14:paraId="75A208EA" w14:textId="77777777" w:rsidR="005E2DED" w:rsidRDefault="008B0EF7" w:rsidP="00236429">
      <w:pPr>
        <w:pStyle w:val="IntenseQuote"/>
        <w:pBdr>
          <w:bottom w:val="none" w:sz="0" w:space="0" w:color="auto"/>
        </w:pBdr>
        <w:spacing w:before="120" w:after="120"/>
        <w:ind w:left="0"/>
        <w:rPr>
          <w:rFonts w:eastAsia="Times New Roman" w:cs="Arial"/>
          <w:i w:val="0"/>
          <w:iCs w:val="0"/>
          <w:color w:val="FC4420"/>
          <w:sz w:val="24"/>
          <w:szCs w:val="24"/>
          <w:lang w:val="en-GB" w:eastAsia="en-GB"/>
        </w:rPr>
      </w:pPr>
      <w:r w:rsidRPr="006F0B55">
        <w:rPr>
          <w:rFonts w:eastAsia="Times New Roman" w:cs="Arial"/>
          <w:color w:val="FC4420"/>
          <w:sz w:val="24"/>
          <w:szCs w:val="24"/>
          <w:lang w:val="en-GB" w:eastAsia="en-GB"/>
        </w:rPr>
        <w:t>■</w:t>
      </w:r>
      <w:r w:rsidRPr="006F0B55">
        <w:rPr>
          <w:rFonts w:eastAsia="Times New Roman" w:cs="Arial"/>
          <w:i w:val="0"/>
          <w:iCs w:val="0"/>
          <w:color w:val="FC4420"/>
          <w:sz w:val="24"/>
          <w:szCs w:val="24"/>
          <w:lang w:val="en-GB" w:eastAsia="en-GB"/>
        </w:rPr>
        <w:t xml:space="preserve"> </w:t>
      </w:r>
      <w:r w:rsidR="008A295E" w:rsidRPr="006F0B55">
        <w:rPr>
          <w:rFonts w:eastAsia="Times New Roman" w:cs="Arial"/>
          <w:i w:val="0"/>
          <w:iCs w:val="0"/>
          <w:color w:val="FC4420"/>
          <w:sz w:val="24"/>
          <w:szCs w:val="24"/>
          <w:lang w:val="en-GB" w:eastAsia="en-GB"/>
        </w:rPr>
        <w:t>Need help on something short-term?</w:t>
      </w:r>
    </w:p>
    <w:p w14:paraId="3F7C82C1" w14:textId="3CEB3776" w:rsidR="00134608" w:rsidRPr="00236429" w:rsidRDefault="008A295E" w:rsidP="00236429">
      <w:pPr>
        <w:pStyle w:val="IntenseQuote"/>
        <w:pBdr>
          <w:bottom w:val="none" w:sz="0" w:space="0" w:color="auto"/>
        </w:pBdr>
        <w:spacing w:before="120" w:after="120"/>
        <w:ind w:left="0"/>
        <w:rPr>
          <w:rFonts w:cs="Arial"/>
          <w:b w:val="0"/>
          <w:bCs w:val="0"/>
          <w:color w:val="auto"/>
          <w:sz w:val="24"/>
          <w:szCs w:val="24"/>
        </w:rPr>
      </w:pPr>
      <w:r w:rsidRPr="00236429">
        <w:rPr>
          <w:rFonts w:cs="Arial"/>
          <w:b w:val="0"/>
          <w:bCs w:val="0"/>
          <w:color w:val="auto"/>
          <w:sz w:val="24"/>
          <w:szCs w:val="24"/>
        </w:rPr>
        <w:t>A placement can be split across multiple employers, usually no more than two unless the student would benefit from broader sector exposure or the work does not suit two employers.</w:t>
      </w:r>
      <w:r w:rsidR="005E2DED" w:rsidRPr="00236429">
        <w:rPr>
          <w:rFonts w:cs="Arial"/>
          <w:b w:val="0"/>
          <w:bCs w:val="0"/>
          <w:color w:val="auto"/>
          <w:sz w:val="24"/>
          <w:szCs w:val="24"/>
        </w:rPr>
        <w:t xml:space="preserve"> </w:t>
      </w:r>
      <w:r w:rsidRPr="00236429">
        <w:rPr>
          <w:rFonts w:cs="Arial"/>
          <w:b w:val="0"/>
          <w:bCs w:val="0"/>
          <w:color w:val="auto"/>
          <w:sz w:val="24"/>
          <w:szCs w:val="24"/>
        </w:rPr>
        <w:t xml:space="preserve">The student must work to a single set of learning </w:t>
      </w:r>
      <w:r w:rsidR="00236429" w:rsidRPr="00236429">
        <w:rPr>
          <w:rFonts w:cs="Arial"/>
          <w:b w:val="0"/>
          <w:bCs w:val="0"/>
          <w:color w:val="auto"/>
          <w:sz w:val="24"/>
          <w:szCs w:val="24"/>
        </w:rPr>
        <w:t>goals,</w:t>
      </w:r>
      <w:r w:rsidRPr="00236429">
        <w:rPr>
          <w:rFonts w:cs="Arial"/>
          <w:b w:val="0"/>
          <w:bCs w:val="0"/>
          <w:color w:val="auto"/>
          <w:sz w:val="24"/>
          <w:szCs w:val="24"/>
        </w:rPr>
        <w:t xml:space="preserve"> and all employers must write an appraisal.</w:t>
      </w:r>
    </w:p>
    <w:p w14:paraId="142A8DCA" w14:textId="77777777" w:rsidR="00341519" w:rsidRDefault="00341519" w:rsidP="00236429">
      <w:pPr>
        <w:spacing w:before="120" w:after="120"/>
        <w:rPr>
          <w:sz w:val="24"/>
          <w:szCs w:val="24"/>
          <w:lang w:val="en-GB"/>
        </w:rPr>
      </w:pPr>
    </w:p>
    <w:p w14:paraId="6E246F12" w14:textId="771FA5DA" w:rsidR="007642CD" w:rsidRPr="006F0B55" w:rsidRDefault="007642CD" w:rsidP="00236429">
      <w:pPr>
        <w:spacing w:before="120" w:after="120"/>
        <w:rPr>
          <w:sz w:val="24"/>
          <w:szCs w:val="24"/>
          <w:lang w:val="en-GB"/>
        </w:rPr>
      </w:pPr>
      <w:r w:rsidRPr="006F0B55">
        <w:rPr>
          <w:sz w:val="24"/>
          <w:szCs w:val="24"/>
          <w:lang w:val="en-GB"/>
        </w:rPr>
        <w:t>Different delivery approaches can be combined to create a meaningful placement that works for both the employer and the student, provided the core industry placement requirements continue to be met.</w:t>
      </w:r>
    </w:p>
    <w:p w14:paraId="1FF92DD0" w14:textId="77777777" w:rsidR="006F787F" w:rsidRDefault="006F787F" w:rsidP="00236429">
      <w:pPr>
        <w:spacing w:before="100" w:after="100"/>
      </w:pPr>
    </w:p>
    <w:p w14:paraId="01A8CB9A" w14:textId="77777777" w:rsidR="0073234E" w:rsidRDefault="0073234E" w:rsidP="00236429">
      <w:pPr>
        <w:spacing w:before="100" w:after="100"/>
      </w:pPr>
    </w:p>
    <w:p w14:paraId="167A1D92" w14:textId="44D4516A" w:rsidR="0073234E" w:rsidRPr="0073234E" w:rsidRDefault="0073234E" w:rsidP="0073234E">
      <w:pPr>
        <w:spacing w:after="0" w:line="240" w:lineRule="auto"/>
        <w:rPr>
          <w:rFonts w:ascii="Times New Roman" w:eastAsia="Times New Roman" w:hAnsi="Times New Roman" w:cs="Times New Roman"/>
          <w:sz w:val="24"/>
          <w:szCs w:val="24"/>
          <w:lang w:val="en-GB" w:eastAsia="en-GB"/>
        </w:rPr>
      </w:pPr>
      <w:r w:rsidRPr="0073234E">
        <w:rPr>
          <w:rFonts w:ascii="Times New Roman" w:eastAsia="Times New Roman" w:hAnsi="Times New Roman" w:cs="Times New Roman"/>
          <w:noProof/>
          <w:sz w:val="24"/>
          <w:szCs w:val="24"/>
          <w:lang w:val="en-GB" w:eastAsia="en-GB"/>
        </w:rPr>
        <w:drawing>
          <wp:anchor distT="0" distB="0" distL="114300" distR="114300" simplePos="0" relativeHeight="251658240" behindDoc="0" locked="0" layoutInCell="1" allowOverlap="1" wp14:anchorId="328B0DFF" wp14:editId="10E2FBB4">
            <wp:simplePos x="0" y="0"/>
            <wp:positionH relativeFrom="margin">
              <wp:align>left</wp:align>
            </wp:positionH>
            <wp:positionV relativeFrom="margin">
              <wp:align>bottom</wp:align>
            </wp:positionV>
            <wp:extent cx="6781800" cy="62865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81800" cy="628650"/>
                    </a:xfrm>
                    <a:prstGeom prst="rect">
                      <a:avLst/>
                    </a:prstGeom>
                    <a:noFill/>
                    <a:ln>
                      <a:noFill/>
                    </a:ln>
                  </pic:spPr>
                </pic:pic>
              </a:graphicData>
            </a:graphic>
          </wp:anchor>
        </w:drawing>
      </w:r>
    </w:p>
    <w:sectPr w:rsidR="0073234E" w:rsidRPr="0073234E" w:rsidSect="003A6D19">
      <w:pgSz w:w="12240" w:h="15840"/>
      <w:pgMar w:top="1748" w:right="1080" w:bottom="1150" w:left="1080" w:header="454" w:footer="7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F4E6E" w14:textId="77777777" w:rsidR="00207B22" w:rsidRDefault="00207B22" w:rsidP="00CE11CF">
      <w:pPr>
        <w:spacing w:after="0" w:line="240" w:lineRule="auto"/>
      </w:pPr>
      <w:r>
        <w:separator/>
      </w:r>
    </w:p>
  </w:endnote>
  <w:endnote w:type="continuationSeparator" w:id="0">
    <w:p w14:paraId="2C5F0FCC" w14:textId="77777777" w:rsidR="00207B22" w:rsidRDefault="00207B22" w:rsidP="00CE1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3F64" w14:textId="4E096B1D" w:rsidR="00590EB4" w:rsidRDefault="00590EB4">
    <w:pPr>
      <w:pStyle w:val="Footer"/>
    </w:pPr>
    <w:r>
      <w:rPr>
        <w:noProof/>
      </w:rPr>
      <mc:AlternateContent>
        <mc:Choice Requires="wps">
          <w:drawing>
            <wp:anchor distT="0" distB="0" distL="0" distR="0" simplePos="0" relativeHeight="251662336" behindDoc="0" locked="0" layoutInCell="1" allowOverlap="1" wp14:anchorId="5A5F2860" wp14:editId="25541F78">
              <wp:simplePos x="635" y="635"/>
              <wp:positionH relativeFrom="page">
                <wp:align>center</wp:align>
              </wp:positionH>
              <wp:positionV relativeFrom="page">
                <wp:align>bottom</wp:align>
              </wp:positionV>
              <wp:extent cx="570865" cy="386715"/>
              <wp:effectExtent l="0" t="0" r="635" b="0"/>
              <wp:wrapNone/>
              <wp:docPr id="126618140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263FC0BA" w14:textId="76D1645A" w:rsidR="00590EB4" w:rsidRPr="00590EB4" w:rsidRDefault="00590EB4" w:rsidP="00590EB4">
                          <w:pPr>
                            <w:spacing w:after="0"/>
                            <w:rPr>
                              <w:rFonts w:ascii="Aptos" w:eastAsia="Aptos" w:hAnsi="Aptos" w:cs="Aptos"/>
                              <w:noProof/>
                              <w:color w:val="000000"/>
                            </w:rPr>
                          </w:pPr>
                          <w:r w:rsidRPr="00590EB4">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5F2860" id="_x0000_t202" coordsize="21600,21600" o:spt="202" path="m,l,21600r21600,l21600,xe">
              <v:stroke joinstyle="miter"/>
              <v:path gradientshapeok="t" o:connecttype="rect"/>
            </v:shapetype>
            <v:shape id="Text Box 5" o:spid="_x0000_s1027" type="#_x0000_t202" alt="OFFICIAL" style="position:absolute;margin-left:0;margin-top:0;width:44.95pt;height:30.4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LcDQIAABwEAAAOAAAAZHJzL2Uyb0RvYy54bWysU8Fu2zAMvQ/YPwi6L3Y6JM2MOEXWIsOA&#10;oC2QDj3LshQbkERBUmJnXz9KjpOu22nYRaZJ6pF8fFre9VqRo3C+BVPS6SSnRBgOdWv2Jf3xsvm0&#10;oMQHZmqmwIiSnoSnd6uPH5adLcQNNKBq4QiCGF90tqRNCLbIMs8boZmfgBUGgxKcZgF/3T6rHesQ&#10;XavsJs/nWQeutg648B69D0OQrhK+lIKHJym9CESVFHsL6XTprOKZrZas2Dtmm5af22D/0IVmrcGi&#10;F6gHFhg5uPYPKN1yBx5kmHDQGUjZcpFmwGmm+btpdg2zIs2C5Hh7ocn/P1j+eNzZZ0dC/xV6XGAk&#10;pLO+8OiM8/TS6fjFTgnGkcLThTbRB8LRObvNF/MZJRxDnxfz2+ksomTXy9b58E2AJtEoqcOtJLLY&#10;cevDkDqmxFoGNq1SaTPK/OZAzOjJrh1GK/RVT9r6TfcV1CccysGwb2/5psXSW+bDM3O4YJwDRRue&#10;8JAKupLC2aKkAffzb/6Yj7xjlJIOBVNSg4qmRH03uI+ordFwo1ElY/oln+UYNwd9DyjDKb4Iy5OJ&#10;XhfUaEoH+hXlvI6FMMQMx3IlrUbzPgzKxefAxXqdklBGloWt2VkeoSNdkcuX/pU5eyY84KYeYVQT&#10;K97xPuTGm96uDwHZT0uJ1A5EnhlHCaa1np9L1Pjb/5R1fdSrXwAAAP//AwBQSwMEFAAGAAgAAAAh&#10;APgV0D/aAAAAAwEAAA8AAABkcnMvZG93bnJldi54bWxMj0FrwkAQhe+F/odlCr3VjUrFpNmICJ4s&#10;BbWX3tbdMUnNzobsROO/79aLXgYe7/HeN/licI04YxdqTwrGowQEkvG2plLB9379NgcRWJPVjSdU&#10;cMUAi+L5KdeZ9Rfa4nnHpYglFDKtoGJuMymDqdDpMPItUvSOvnOao+xKaTt9ieWukZMkmUmna4oL&#10;lW5xVaE57Xqn4H3Ln/0X7ac/w+T6u2lXZnrcGKVeX4blBwjGge9h+MeP6FBEpoPvyQbRKIiP8O1G&#10;b56mIA4KZkkKssjlI3vxBwAA//8DAFBLAQItABQABgAIAAAAIQC2gziS/gAAAOEBAAATAAAAAAAA&#10;AAAAAAAAAAAAAABbQ29udGVudF9UeXBlc10ueG1sUEsBAi0AFAAGAAgAAAAhADj9If/WAAAAlAEA&#10;AAsAAAAAAAAAAAAAAAAALwEAAF9yZWxzLy5yZWxzUEsBAi0AFAAGAAgAAAAhAOu4otwNAgAAHAQA&#10;AA4AAAAAAAAAAAAAAAAALgIAAGRycy9lMm9Eb2MueG1sUEsBAi0AFAAGAAgAAAAhAPgV0D/aAAAA&#10;AwEAAA8AAAAAAAAAAAAAAAAAZwQAAGRycy9kb3ducmV2LnhtbFBLBQYAAAAABAAEAPMAAABuBQAA&#10;AAA=&#10;" filled="f" stroked="f">
              <v:textbox style="mso-fit-shape-to-text:t" inset="0,0,0,15pt">
                <w:txbxContent>
                  <w:p w14:paraId="263FC0BA" w14:textId="76D1645A" w:rsidR="00590EB4" w:rsidRPr="00590EB4" w:rsidRDefault="00590EB4" w:rsidP="00590EB4">
                    <w:pPr>
                      <w:spacing w:after="0"/>
                      <w:rPr>
                        <w:rFonts w:ascii="Aptos" w:eastAsia="Aptos" w:hAnsi="Aptos" w:cs="Aptos"/>
                        <w:noProof/>
                        <w:color w:val="000000"/>
                      </w:rPr>
                    </w:pPr>
                    <w:r w:rsidRPr="00590EB4">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715B7" w14:textId="77777777" w:rsidR="00207B22" w:rsidRDefault="00207B22" w:rsidP="00CE11CF">
      <w:pPr>
        <w:spacing w:after="0" w:line="240" w:lineRule="auto"/>
      </w:pPr>
      <w:r>
        <w:separator/>
      </w:r>
    </w:p>
  </w:footnote>
  <w:footnote w:type="continuationSeparator" w:id="0">
    <w:p w14:paraId="113F593C" w14:textId="77777777" w:rsidR="00207B22" w:rsidRDefault="00207B22" w:rsidP="00CE1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070B" w14:textId="1B3A8C66" w:rsidR="00590EB4" w:rsidRDefault="00590EB4">
    <w:pPr>
      <w:pStyle w:val="Header"/>
    </w:pPr>
    <w:r>
      <w:rPr>
        <w:noProof/>
      </w:rPr>
      <mc:AlternateContent>
        <mc:Choice Requires="wps">
          <w:drawing>
            <wp:anchor distT="0" distB="0" distL="0" distR="0" simplePos="0" relativeHeight="251659264" behindDoc="0" locked="0" layoutInCell="1" allowOverlap="1" wp14:anchorId="3028DD7A" wp14:editId="3D13A555">
              <wp:simplePos x="635" y="635"/>
              <wp:positionH relativeFrom="page">
                <wp:align>center</wp:align>
              </wp:positionH>
              <wp:positionV relativeFrom="page">
                <wp:align>top</wp:align>
              </wp:positionV>
              <wp:extent cx="570865" cy="386715"/>
              <wp:effectExtent l="0" t="0" r="635" b="13335"/>
              <wp:wrapNone/>
              <wp:docPr id="18333624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61E863A3" w14:textId="2B43543C" w:rsidR="00590EB4" w:rsidRPr="00590EB4" w:rsidRDefault="00590EB4" w:rsidP="00590EB4">
                          <w:pPr>
                            <w:spacing w:after="0"/>
                            <w:rPr>
                              <w:rFonts w:ascii="Aptos" w:eastAsia="Aptos" w:hAnsi="Aptos" w:cs="Aptos"/>
                              <w:noProof/>
                              <w:color w:val="000000"/>
                            </w:rPr>
                          </w:pPr>
                          <w:r w:rsidRPr="00590EB4">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28DD7A" id="_x0000_t202" coordsize="21600,21600" o:spt="202" path="m,l,21600r21600,l21600,xe">
              <v:stroke joinstyle="miter"/>
              <v:path gradientshapeok="t" o:connecttype="rect"/>
            </v:shapetype>
            <v:shape id="Text Box 2" o:spid="_x0000_s1026" type="#_x0000_t202" alt="OFFICIAL" style="position:absolute;margin-left:0;margin-top:0;width:44.95pt;height:30.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z3CgIAABUEAAAOAAAAZHJzL2Uyb0RvYy54bWysU8Fu2zAMvQ/YPwi6L3Y6JE2NOEXWIsOA&#10;oC2QDj0rshQbkERBUmJnXz9KtpOt22nYRaZI+pF8fFred1qRk3C+AVPS6SSnRBgOVWMOJf3+uvm0&#10;oMQHZiqmwIiSnoWn96uPH5atLcQN1KAq4QiCGF+0tqR1CLbIMs9roZmfgBUGgxKcZgGv7pBVjrWI&#10;rlV2k+fzrAVXWQdceI/exz5IVwlfSsHDs5ReBKJKir2FdLp07uOZrZasODhm64YPbbB/6EKzxmDR&#10;C9QjC4wcXfMHlG64Aw8yTDjoDKRsuEgz4DTT/N00u5pZkWZBcry90OT/Hyx/Ou3siyOh+wIdLjAS&#10;0lpfeHTGeTrpdPxipwTjSOH5QpvoAuHonN3mi/mMEo6hz4v57XQWUbLrz9b58FWAJtEoqcOtJLLY&#10;aetDnzqmxFoGNo1SaTPK/OZAzOjJrh1GK3T7bmh7D9UZp3HQL9pbvmmw5pb58MIcbhYHQLWGZzyk&#10;grakMFiU1OB+/M0f85FwjFLSolJKalDKlKhvBhcRRZWM6V0+y/HmRvd+NMxRPwDqb4pPwfJkxryg&#10;RlM60G+o43UshCFmOJYraRjNh9BLFt8BF+t1SkL9WBa2Zmd5hI48RRJfuzfm7MB0wBU9wSgjVrwj&#10;vM+Nf3q7PgakPW0jctoTOVCN2kv7HN5JFPev95R1fc2rnwAAAP//AwBQSwMEFAAGAAgAAAAhABvm&#10;DIDaAAAAAwEAAA8AAABkcnMvZG93bnJldi54bWxMj81uwjAQhO+VeAdrK/VWnFQCkTQOQkgcuAH9&#10;OS/xNkkb70axgcDT1+2lvaw0mtHMt8VydJ060+BbYQPpNAFFXIltuTbw+rJ5XIDyAdliJ0wGruRh&#10;WU7uCsytXHhP50OoVSxhn6OBJoQ+19pXDTn0U+mJo/chg8MQ5VBrO+AllrtOPyXJXDtsOS402NO6&#10;oerrcHIG2tlKQkpv283nu0slve22s9vOmIf7cfUMKtAY/sLwgx/RoYxMRzmx9aozEB8Jvzd6iywD&#10;dTQwTzLQZaH/s5ffAAAA//8DAFBLAQItABQABgAIAAAAIQC2gziS/gAAAOEBAAATAAAAAAAAAAAA&#10;AAAAAAAAAABbQ29udGVudF9UeXBlc10ueG1sUEsBAi0AFAAGAAgAAAAhADj9If/WAAAAlAEAAAsA&#10;AAAAAAAAAAAAAAAALwEAAF9yZWxzLy5yZWxzUEsBAi0AFAAGAAgAAAAhAE2rvPcKAgAAFQQAAA4A&#10;AAAAAAAAAAAAAAAALgIAAGRycy9lMm9Eb2MueG1sUEsBAi0AFAAGAAgAAAAhABvmDIDaAAAAAwEA&#10;AA8AAAAAAAAAAAAAAAAAZAQAAGRycy9kb3ducmV2LnhtbFBLBQYAAAAABAAEAPMAAABrBQAAAAA=&#10;" filled="f" stroked="f">
              <v:textbox style="mso-fit-shape-to-text:t" inset="0,15pt,0,0">
                <w:txbxContent>
                  <w:p w14:paraId="61E863A3" w14:textId="2B43543C" w:rsidR="00590EB4" w:rsidRPr="00590EB4" w:rsidRDefault="00590EB4" w:rsidP="00590EB4">
                    <w:pPr>
                      <w:spacing w:after="0"/>
                      <w:rPr>
                        <w:rFonts w:ascii="Aptos" w:eastAsia="Aptos" w:hAnsi="Aptos" w:cs="Aptos"/>
                        <w:noProof/>
                        <w:color w:val="000000"/>
                      </w:rPr>
                    </w:pPr>
                    <w:r w:rsidRPr="00590EB4">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739F" w14:textId="11092785" w:rsidR="00A55BD0" w:rsidRDefault="00EA07B1">
    <w:pPr>
      <w:pStyle w:val="Header"/>
      <w:rPr>
        <w:b/>
        <w:bCs/>
        <w:noProof/>
        <w:lang w:val="en-GB"/>
      </w:rPr>
    </w:pPr>
    <w:r>
      <w:rPr>
        <w:noProof/>
      </w:rPr>
      <w:t xml:space="preserve">                                                                                            </w:t>
    </w:r>
  </w:p>
  <w:p w14:paraId="4E7B7C9D" w14:textId="0F503211" w:rsidR="005C569F" w:rsidRDefault="00EA07B1">
    <w:pPr>
      <w:pStyle w:val="Header"/>
    </w:pP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A85B" w14:textId="28985388" w:rsidR="00EA07B1" w:rsidRDefault="00EA07B1">
    <w:pPr>
      <w:pStyle w:val="Header"/>
    </w:pPr>
    <w:r>
      <w:rPr>
        <w:noProof/>
      </w:rPr>
      <w:t xml:space="preserve">                                                                                                                       </w:t>
    </w:r>
    <w:r>
      <w:rPr>
        <w:noProof/>
      </w:rPr>
      <w:drawing>
        <wp:inline distT="0" distB="0" distL="0" distR="0" wp14:anchorId="2FF7824D" wp14:editId="454E8D41">
          <wp:extent cx="1699939" cy="556351"/>
          <wp:effectExtent l="0" t="0" r="0" b="0"/>
          <wp:docPr id="1889786198" name="Picture 1" descr="A black background with red text&#10;&#10;Description automatically generated">
            <a:extLst xmlns:a="http://schemas.openxmlformats.org/drawingml/2006/main">
              <a:ext uri="{FF2B5EF4-FFF2-40B4-BE49-F238E27FC236}">
                <a16:creationId xmlns:a16="http://schemas.microsoft.com/office/drawing/2014/main" id="{AE48373D-C195-47D7-BD69-528C587592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AACB55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641F22"/>
    <w:multiLevelType w:val="hybridMultilevel"/>
    <w:tmpl w:val="0B24B37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06D71EA"/>
    <w:multiLevelType w:val="multilevel"/>
    <w:tmpl w:val="14FC5506"/>
    <w:lvl w:ilvl="0">
      <w:start w:val="1"/>
      <w:numFmt w:val="decimal"/>
      <w:lvlText w:val="%1."/>
      <w:lvlJc w:val="left"/>
      <w:pPr>
        <w:tabs>
          <w:tab w:val="num" w:pos="720"/>
        </w:tabs>
        <w:ind w:left="720" w:hanging="360"/>
      </w:p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246ED"/>
    <w:multiLevelType w:val="hybridMultilevel"/>
    <w:tmpl w:val="85547D02"/>
    <w:lvl w:ilvl="0" w:tplc="52D62DB4">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5B5E49"/>
    <w:multiLevelType w:val="hybridMultilevel"/>
    <w:tmpl w:val="BF38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F01A8"/>
    <w:multiLevelType w:val="hybridMultilevel"/>
    <w:tmpl w:val="CE701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592BDA"/>
    <w:multiLevelType w:val="multilevel"/>
    <w:tmpl w:val="220EE0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310731"/>
    <w:multiLevelType w:val="multilevel"/>
    <w:tmpl w:val="3010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46459B"/>
    <w:multiLevelType w:val="multilevel"/>
    <w:tmpl w:val="225A204A"/>
    <w:styleLink w:val="CurrentList1"/>
    <w:lvl w:ilvl="0">
      <w:start w:val="1"/>
      <w:numFmt w:val="bullet"/>
      <w:lvlText w:val=""/>
      <w:lvlJc w:val="left"/>
      <w:pPr>
        <w:ind w:left="0" w:firstLine="0"/>
      </w:pPr>
      <w:rPr>
        <w:rFonts w:ascii="Symbol" w:hAnsi="Symbol" w:hint="default"/>
      </w:rPr>
    </w:lvl>
    <w:lvl w:ilvl="1">
      <w:start w:val="1"/>
      <w:numFmt w:val="bullet"/>
      <w:lvlText w:val="o"/>
      <w:lvlJc w:val="left"/>
      <w:pPr>
        <w:ind w:left="1156" w:hanging="360"/>
      </w:pPr>
      <w:rPr>
        <w:rFonts w:ascii="Courier New" w:hAnsi="Courier New"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hint="default"/>
      </w:rPr>
    </w:lvl>
    <w:lvl w:ilvl="8">
      <w:start w:val="1"/>
      <w:numFmt w:val="bullet"/>
      <w:lvlText w:val=""/>
      <w:lvlJc w:val="left"/>
      <w:pPr>
        <w:ind w:left="6196" w:hanging="360"/>
      </w:pPr>
      <w:rPr>
        <w:rFonts w:ascii="Wingdings" w:hAnsi="Wingdings" w:hint="default"/>
      </w:rPr>
    </w:lvl>
  </w:abstractNum>
  <w:abstractNum w:abstractNumId="17" w15:restartNumberingAfterBreak="0">
    <w:nsid w:val="50B15AD7"/>
    <w:multiLevelType w:val="hybridMultilevel"/>
    <w:tmpl w:val="58F05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A06CB"/>
    <w:multiLevelType w:val="hybridMultilevel"/>
    <w:tmpl w:val="225A204A"/>
    <w:lvl w:ilvl="0" w:tplc="52D62DB4">
      <w:start w:val="1"/>
      <w:numFmt w:val="bullet"/>
      <w:lvlText w:val=""/>
      <w:lvlJc w:val="left"/>
      <w:pPr>
        <w:ind w:left="0" w:firstLine="0"/>
      </w:pPr>
      <w:rPr>
        <w:rFonts w:ascii="Symbol" w:hAnsi="Symbol" w:hint="default"/>
      </w:rPr>
    </w:lvl>
    <w:lvl w:ilvl="1" w:tplc="08090003" w:tentative="1">
      <w:start w:val="1"/>
      <w:numFmt w:val="bullet"/>
      <w:lvlText w:val="o"/>
      <w:lvlJc w:val="left"/>
      <w:pPr>
        <w:ind w:left="1156" w:hanging="360"/>
      </w:pPr>
      <w:rPr>
        <w:rFonts w:ascii="Courier New" w:hAnsi="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6972048A"/>
    <w:multiLevelType w:val="multilevel"/>
    <w:tmpl w:val="A38A51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6"/>
      <w:numFmt w:val="bullet"/>
      <w:lvlText w:val="•"/>
      <w:lvlJc w:val="left"/>
      <w:pPr>
        <w:ind w:left="2160" w:hanging="360"/>
      </w:pPr>
      <w:rPr>
        <w:rFonts w:ascii="Arial" w:eastAsiaTheme="minorEastAsia"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F76CAF"/>
    <w:multiLevelType w:val="hybridMultilevel"/>
    <w:tmpl w:val="9C16769C"/>
    <w:lvl w:ilvl="0" w:tplc="52D62DB4">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8C120F"/>
    <w:multiLevelType w:val="multilevel"/>
    <w:tmpl w:val="00B45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0B7812"/>
    <w:multiLevelType w:val="multilevel"/>
    <w:tmpl w:val="14FC55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9E6CF2"/>
    <w:multiLevelType w:val="hybridMultilevel"/>
    <w:tmpl w:val="16144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6753653">
    <w:abstractNumId w:val="1"/>
  </w:num>
  <w:num w:numId="2" w16cid:durableId="1172333291">
    <w:abstractNumId w:val="10"/>
  </w:num>
  <w:num w:numId="3" w16cid:durableId="1195268260">
    <w:abstractNumId w:val="5"/>
  </w:num>
  <w:num w:numId="4" w16cid:durableId="131875794">
    <w:abstractNumId w:val="9"/>
  </w:num>
  <w:num w:numId="5" w16cid:durableId="1439792330">
    <w:abstractNumId w:val="4"/>
  </w:num>
  <w:num w:numId="6" w16cid:durableId="1470976744">
    <w:abstractNumId w:val="13"/>
  </w:num>
  <w:num w:numId="7" w16cid:durableId="1482622600">
    <w:abstractNumId w:val="11"/>
  </w:num>
  <w:num w:numId="8" w16cid:durableId="1504710347">
    <w:abstractNumId w:val="12"/>
  </w:num>
  <w:num w:numId="9" w16cid:durableId="1761565171">
    <w:abstractNumId w:val="23"/>
  </w:num>
  <w:num w:numId="10" w16cid:durableId="1816948783">
    <w:abstractNumId w:val="15"/>
  </w:num>
  <w:num w:numId="11" w16cid:durableId="1960070471">
    <w:abstractNumId w:val="18"/>
  </w:num>
  <w:num w:numId="12" w16cid:durableId="2007709582">
    <w:abstractNumId w:val="14"/>
  </w:num>
  <w:num w:numId="13" w16cid:durableId="2121876797">
    <w:abstractNumId w:val="19"/>
  </w:num>
  <w:num w:numId="14" w16cid:durableId="237256429">
    <w:abstractNumId w:val="6"/>
  </w:num>
  <w:num w:numId="15" w16cid:durableId="332496403">
    <w:abstractNumId w:val="0"/>
  </w:num>
  <w:num w:numId="16" w16cid:durableId="421069698">
    <w:abstractNumId w:val="16"/>
  </w:num>
  <w:num w:numId="17" w16cid:durableId="485588153">
    <w:abstractNumId w:val="3"/>
  </w:num>
  <w:num w:numId="18" w16cid:durableId="492337245">
    <w:abstractNumId w:val="2"/>
  </w:num>
  <w:num w:numId="19" w16cid:durableId="524556473">
    <w:abstractNumId w:val="8"/>
  </w:num>
  <w:num w:numId="20" w16cid:durableId="530340257">
    <w:abstractNumId w:val="22"/>
  </w:num>
  <w:num w:numId="21" w16cid:durableId="553085651">
    <w:abstractNumId w:val="20"/>
  </w:num>
  <w:num w:numId="22" w16cid:durableId="573247587">
    <w:abstractNumId w:val="7"/>
  </w:num>
  <w:num w:numId="23" w16cid:durableId="748618086">
    <w:abstractNumId w:val="17"/>
  </w:num>
  <w:num w:numId="24" w16cid:durableId="9382234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D0A"/>
    <w:rsid w:val="00034616"/>
    <w:rsid w:val="0004267F"/>
    <w:rsid w:val="0004778E"/>
    <w:rsid w:val="000538B4"/>
    <w:rsid w:val="0006063C"/>
    <w:rsid w:val="00062967"/>
    <w:rsid w:val="000740D8"/>
    <w:rsid w:val="00087715"/>
    <w:rsid w:val="00094852"/>
    <w:rsid w:val="0009688B"/>
    <w:rsid w:val="000A64C6"/>
    <w:rsid w:val="000F4DA2"/>
    <w:rsid w:val="00100C9F"/>
    <w:rsid w:val="00104ED6"/>
    <w:rsid w:val="001106FF"/>
    <w:rsid w:val="00134608"/>
    <w:rsid w:val="0015074B"/>
    <w:rsid w:val="00154021"/>
    <w:rsid w:val="00164F50"/>
    <w:rsid w:val="00167AA7"/>
    <w:rsid w:val="00194034"/>
    <w:rsid w:val="001B651A"/>
    <w:rsid w:val="001E595E"/>
    <w:rsid w:val="001F5695"/>
    <w:rsid w:val="001F65AD"/>
    <w:rsid w:val="00207B22"/>
    <w:rsid w:val="00236429"/>
    <w:rsid w:val="0026420D"/>
    <w:rsid w:val="0026523D"/>
    <w:rsid w:val="0027192F"/>
    <w:rsid w:val="00276887"/>
    <w:rsid w:val="00293270"/>
    <w:rsid w:val="0029355F"/>
    <w:rsid w:val="0029639D"/>
    <w:rsid w:val="002E1AC4"/>
    <w:rsid w:val="002E1DAE"/>
    <w:rsid w:val="00310B2D"/>
    <w:rsid w:val="003178A6"/>
    <w:rsid w:val="00326F90"/>
    <w:rsid w:val="00336720"/>
    <w:rsid w:val="00341519"/>
    <w:rsid w:val="00344B31"/>
    <w:rsid w:val="00381288"/>
    <w:rsid w:val="0039115F"/>
    <w:rsid w:val="003A38B8"/>
    <w:rsid w:val="003A515C"/>
    <w:rsid w:val="003A6D19"/>
    <w:rsid w:val="003A7B22"/>
    <w:rsid w:val="003B5A77"/>
    <w:rsid w:val="003C2405"/>
    <w:rsid w:val="003D15A6"/>
    <w:rsid w:val="003D3205"/>
    <w:rsid w:val="003E321F"/>
    <w:rsid w:val="003F2ECF"/>
    <w:rsid w:val="0046574F"/>
    <w:rsid w:val="00484B46"/>
    <w:rsid w:val="004C23BA"/>
    <w:rsid w:val="00537C17"/>
    <w:rsid w:val="00562B1D"/>
    <w:rsid w:val="005660E2"/>
    <w:rsid w:val="005833F6"/>
    <w:rsid w:val="00590EB4"/>
    <w:rsid w:val="00594A9F"/>
    <w:rsid w:val="00597C14"/>
    <w:rsid w:val="005A0BC2"/>
    <w:rsid w:val="005A5A02"/>
    <w:rsid w:val="005A6685"/>
    <w:rsid w:val="005B1377"/>
    <w:rsid w:val="005C569F"/>
    <w:rsid w:val="005C7D68"/>
    <w:rsid w:val="005D2A09"/>
    <w:rsid w:val="005D5C60"/>
    <w:rsid w:val="005E2DED"/>
    <w:rsid w:val="005E5E2B"/>
    <w:rsid w:val="005E7006"/>
    <w:rsid w:val="005F1937"/>
    <w:rsid w:val="00603E4E"/>
    <w:rsid w:val="006165D0"/>
    <w:rsid w:val="00617A02"/>
    <w:rsid w:val="006211E7"/>
    <w:rsid w:val="00621D08"/>
    <w:rsid w:val="00632179"/>
    <w:rsid w:val="00632596"/>
    <w:rsid w:val="00633671"/>
    <w:rsid w:val="006404BC"/>
    <w:rsid w:val="0064152A"/>
    <w:rsid w:val="00662FAE"/>
    <w:rsid w:val="00684552"/>
    <w:rsid w:val="006903A5"/>
    <w:rsid w:val="006C27FA"/>
    <w:rsid w:val="006C54D9"/>
    <w:rsid w:val="006C7919"/>
    <w:rsid w:val="006F0B55"/>
    <w:rsid w:val="006F312A"/>
    <w:rsid w:val="006F787F"/>
    <w:rsid w:val="0070093B"/>
    <w:rsid w:val="007049FB"/>
    <w:rsid w:val="00726D54"/>
    <w:rsid w:val="00727886"/>
    <w:rsid w:val="0073234E"/>
    <w:rsid w:val="007356DB"/>
    <w:rsid w:val="007642CD"/>
    <w:rsid w:val="00765423"/>
    <w:rsid w:val="007720B5"/>
    <w:rsid w:val="00787EC5"/>
    <w:rsid w:val="00793186"/>
    <w:rsid w:val="007C2D38"/>
    <w:rsid w:val="00805966"/>
    <w:rsid w:val="00815E65"/>
    <w:rsid w:val="0081716B"/>
    <w:rsid w:val="00820618"/>
    <w:rsid w:val="00834297"/>
    <w:rsid w:val="00836A99"/>
    <w:rsid w:val="00842CC8"/>
    <w:rsid w:val="00852A7C"/>
    <w:rsid w:val="00867449"/>
    <w:rsid w:val="008A295E"/>
    <w:rsid w:val="008B0EF7"/>
    <w:rsid w:val="008C30BC"/>
    <w:rsid w:val="008F7611"/>
    <w:rsid w:val="00910C37"/>
    <w:rsid w:val="00923F5F"/>
    <w:rsid w:val="0094018C"/>
    <w:rsid w:val="00947F14"/>
    <w:rsid w:val="0095429B"/>
    <w:rsid w:val="009558A5"/>
    <w:rsid w:val="00955993"/>
    <w:rsid w:val="009966F2"/>
    <w:rsid w:val="009A02B9"/>
    <w:rsid w:val="009B2A36"/>
    <w:rsid w:val="009D1BED"/>
    <w:rsid w:val="009D301D"/>
    <w:rsid w:val="00A06CAD"/>
    <w:rsid w:val="00A072D3"/>
    <w:rsid w:val="00A15992"/>
    <w:rsid w:val="00A17D34"/>
    <w:rsid w:val="00A26C96"/>
    <w:rsid w:val="00A36FD2"/>
    <w:rsid w:val="00A40872"/>
    <w:rsid w:val="00A42C89"/>
    <w:rsid w:val="00A55BD0"/>
    <w:rsid w:val="00A60A46"/>
    <w:rsid w:val="00A95425"/>
    <w:rsid w:val="00AA1D8D"/>
    <w:rsid w:val="00AA4A7B"/>
    <w:rsid w:val="00AE3926"/>
    <w:rsid w:val="00B11C9C"/>
    <w:rsid w:val="00B14DD4"/>
    <w:rsid w:val="00B2363C"/>
    <w:rsid w:val="00B32DFA"/>
    <w:rsid w:val="00B42758"/>
    <w:rsid w:val="00B47730"/>
    <w:rsid w:val="00B6419C"/>
    <w:rsid w:val="00BA36EF"/>
    <w:rsid w:val="00BB27D4"/>
    <w:rsid w:val="00BB287E"/>
    <w:rsid w:val="00C00A3F"/>
    <w:rsid w:val="00C31D2C"/>
    <w:rsid w:val="00C5025F"/>
    <w:rsid w:val="00C53EAB"/>
    <w:rsid w:val="00C60BA4"/>
    <w:rsid w:val="00C62D39"/>
    <w:rsid w:val="00C7128B"/>
    <w:rsid w:val="00C81F9E"/>
    <w:rsid w:val="00C873B1"/>
    <w:rsid w:val="00CB0664"/>
    <w:rsid w:val="00CB5D27"/>
    <w:rsid w:val="00CD3DF0"/>
    <w:rsid w:val="00CD414E"/>
    <w:rsid w:val="00CE11CF"/>
    <w:rsid w:val="00CE7863"/>
    <w:rsid w:val="00D000FC"/>
    <w:rsid w:val="00D0233E"/>
    <w:rsid w:val="00D0502C"/>
    <w:rsid w:val="00D24CEB"/>
    <w:rsid w:val="00D4643B"/>
    <w:rsid w:val="00D82CBA"/>
    <w:rsid w:val="00D8305F"/>
    <w:rsid w:val="00D92D54"/>
    <w:rsid w:val="00DD176F"/>
    <w:rsid w:val="00DD39E2"/>
    <w:rsid w:val="00DD5A12"/>
    <w:rsid w:val="00DD78B9"/>
    <w:rsid w:val="00DF2AA3"/>
    <w:rsid w:val="00E03980"/>
    <w:rsid w:val="00E261F5"/>
    <w:rsid w:val="00E4214C"/>
    <w:rsid w:val="00E63847"/>
    <w:rsid w:val="00E66ACE"/>
    <w:rsid w:val="00E66DDC"/>
    <w:rsid w:val="00E72981"/>
    <w:rsid w:val="00E772C2"/>
    <w:rsid w:val="00E80153"/>
    <w:rsid w:val="00E97F46"/>
    <w:rsid w:val="00EA07B1"/>
    <w:rsid w:val="00EA5A63"/>
    <w:rsid w:val="00EA778D"/>
    <w:rsid w:val="00EF0212"/>
    <w:rsid w:val="00F01636"/>
    <w:rsid w:val="00F2125A"/>
    <w:rsid w:val="00F40844"/>
    <w:rsid w:val="00FA10D1"/>
    <w:rsid w:val="00FC6046"/>
    <w:rsid w:val="00FC693F"/>
    <w:rsid w:val="00FE410B"/>
    <w:rsid w:val="00FE676A"/>
    <w:rsid w:val="00FF2919"/>
    <w:rsid w:val="64F0FA99"/>
    <w:rsid w:val="6D900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CD43BB"/>
  <w14:defaultImageDpi w14:val="300"/>
  <w15:docId w15:val="{69325F63-D2C7-45BB-999E-A0D436B8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9"/>
      </w:numPr>
      <w:contextualSpacing/>
    </w:pPr>
  </w:style>
  <w:style w:type="paragraph" w:styleId="ListBullet2">
    <w:name w:val="List Bullet 2"/>
    <w:basedOn w:val="Normal"/>
    <w:uiPriority w:val="99"/>
    <w:unhideWhenUsed/>
    <w:rsid w:val="00326F90"/>
    <w:pPr>
      <w:numPr>
        <w:numId w:val="14"/>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22"/>
      </w:numPr>
      <w:contextualSpacing/>
    </w:pPr>
  </w:style>
  <w:style w:type="paragraph" w:styleId="ListNumber2">
    <w:name w:val="List Number 2"/>
    <w:basedOn w:val="Normal"/>
    <w:uiPriority w:val="99"/>
    <w:unhideWhenUsed/>
    <w:rsid w:val="0029639D"/>
    <w:pPr>
      <w:numPr>
        <w:numId w:val="17"/>
      </w:numPr>
      <w:contextualSpacing/>
    </w:pPr>
  </w:style>
  <w:style w:type="paragraph" w:styleId="ListNumber3">
    <w:name w:val="List Number 3"/>
    <w:basedOn w:val="Normal"/>
    <w:uiPriority w:val="99"/>
    <w:unhideWhenUsed/>
    <w:rsid w:val="0029639D"/>
    <w:pPr>
      <w:numPr>
        <w:numId w:val="1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CE11CF"/>
    <w:pPr>
      <w:spacing w:after="0" w:line="240" w:lineRule="auto"/>
    </w:pPr>
    <w:rPr>
      <w:rFonts w:eastAsia="Times New Roman" w:cs="Arial"/>
      <w:color w:val="0C0C0C"/>
      <w:sz w:val="18"/>
      <w:szCs w:val="18"/>
      <w:lang w:val="en-GB" w:eastAsia="en-GB"/>
    </w:rPr>
  </w:style>
  <w:style w:type="character" w:customStyle="1" w:styleId="s1">
    <w:name w:val="s1"/>
    <w:basedOn w:val="DefaultParagraphFont"/>
    <w:rsid w:val="00CE11CF"/>
  </w:style>
  <w:style w:type="character" w:customStyle="1" w:styleId="s2">
    <w:name w:val="s2"/>
    <w:basedOn w:val="DefaultParagraphFont"/>
    <w:rsid w:val="00CE11CF"/>
  </w:style>
  <w:style w:type="character" w:customStyle="1" w:styleId="apple-converted-space">
    <w:name w:val="apple-converted-space"/>
    <w:basedOn w:val="DefaultParagraphFont"/>
    <w:rsid w:val="00CE11CF"/>
  </w:style>
  <w:style w:type="paragraph" w:customStyle="1" w:styleId="p3">
    <w:name w:val="p3"/>
    <w:basedOn w:val="Normal"/>
    <w:rsid w:val="00CE11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ListTable3-Accent6">
    <w:name w:val="List Table 3 Accent 6"/>
    <w:basedOn w:val="TableNormal"/>
    <w:uiPriority w:val="48"/>
    <w:rsid w:val="00C873B1"/>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PlainTable3">
    <w:name w:val="Plain Table 3"/>
    <w:basedOn w:val="TableNormal"/>
    <w:uiPriority w:val="99"/>
    <w:rsid w:val="00C873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6">
    <w:name w:val="Grid Table 1 Light Accent 6"/>
    <w:basedOn w:val="TableNormal"/>
    <w:uiPriority w:val="46"/>
    <w:rsid w:val="00C873B1"/>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C873B1"/>
    <w:pPr>
      <w:numPr>
        <w:numId w:val="16"/>
      </w:numPr>
    </w:pPr>
  </w:style>
  <w:style w:type="character" w:styleId="Hyperlink">
    <w:name w:val="Hyperlink"/>
    <w:basedOn w:val="DefaultParagraphFont"/>
    <w:uiPriority w:val="99"/>
    <w:unhideWhenUsed/>
    <w:rsid w:val="00C873B1"/>
    <w:rPr>
      <w:color w:val="0000FF" w:themeColor="hyperlink"/>
      <w:u w:val="single"/>
    </w:rPr>
  </w:style>
  <w:style w:type="character" w:styleId="UnresolvedMention">
    <w:name w:val="Unresolved Mention"/>
    <w:basedOn w:val="DefaultParagraphFont"/>
    <w:uiPriority w:val="99"/>
    <w:semiHidden/>
    <w:unhideWhenUsed/>
    <w:rsid w:val="00C873B1"/>
    <w:rPr>
      <w:color w:val="605E5C"/>
      <w:shd w:val="clear" w:color="auto" w:fill="E1DFDD"/>
    </w:rPr>
  </w:style>
  <w:style w:type="table" w:styleId="PlainTable5">
    <w:name w:val="Plain Table 5"/>
    <w:basedOn w:val="TableNormal"/>
    <w:uiPriority w:val="99"/>
    <w:rsid w:val="00D24CE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2">
    <w:name w:val="p2"/>
    <w:basedOn w:val="Normal"/>
    <w:rsid w:val="005A0B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C7128B"/>
    <w:rPr>
      <w:sz w:val="16"/>
      <w:szCs w:val="16"/>
    </w:rPr>
  </w:style>
  <w:style w:type="paragraph" w:styleId="CommentText">
    <w:name w:val="annotation text"/>
    <w:basedOn w:val="Normal"/>
    <w:link w:val="CommentTextChar"/>
    <w:uiPriority w:val="99"/>
    <w:unhideWhenUsed/>
    <w:rsid w:val="00C7128B"/>
    <w:pPr>
      <w:spacing w:line="240" w:lineRule="auto"/>
    </w:pPr>
    <w:rPr>
      <w:sz w:val="20"/>
      <w:szCs w:val="20"/>
    </w:rPr>
  </w:style>
  <w:style w:type="character" w:customStyle="1" w:styleId="CommentTextChar">
    <w:name w:val="Comment Text Char"/>
    <w:basedOn w:val="DefaultParagraphFont"/>
    <w:link w:val="CommentText"/>
    <w:uiPriority w:val="99"/>
    <w:rsid w:val="00C7128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128B"/>
    <w:rPr>
      <w:b/>
      <w:bCs/>
    </w:rPr>
  </w:style>
  <w:style w:type="character" w:customStyle="1" w:styleId="CommentSubjectChar">
    <w:name w:val="Comment Subject Char"/>
    <w:basedOn w:val="CommentTextChar"/>
    <w:link w:val="CommentSubject"/>
    <w:uiPriority w:val="99"/>
    <w:semiHidden/>
    <w:rsid w:val="00C7128B"/>
    <w:rPr>
      <w:rFonts w:ascii="Arial" w:hAnsi="Arial"/>
      <w:b/>
      <w:bCs/>
      <w:sz w:val="20"/>
      <w:szCs w:val="20"/>
    </w:rPr>
  </w:style>
  <w:style w:type="character" w:styleId="FollowedHyperlink">
    <w:name w:val="FollowedHyperlink"/>
    <w:basedOn w:val="DefaultParagraphFont"/>
    <w:uiPriority w:val="99"/>
    <w:semiHidden/>
    <w:unhideWhenUsed/>
    <w:rsid w:val="00A06CAD"/>
    <w:rPr>
      <w:color w:val="800080" w:themeColor="followedHyperlink"/>
      <w:u w:val="single"/>
    </w:rPr>
  </w:style>
  <w:style w:type="character" w:styleId="Mention">
    <w:name w:val="Mention"/>
    <w:basedOn w:val="DefaultParagraphFont"/>
    <w:uiPriority w:val="99"/>
    <w:unhideWhenUsed/>
    <w:rsid w:val="00E801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7315">
      <w:bodyDiv w:val="1"/>
      <w:marLeft w:val="0"/>
      <w:marRight w:val="0"/>
      <w:marTop w:val="0"/>
      <w:marBottom w:val="0"/>
      <w:divBdr>
        <w:top w:val="none" w:sz="0" w:space="0" w:color="auto"/>
        <w:left w:val="none" w:sz="0" w:space="0" w:color="auto"/>
        <w:bottom w:val="none" w:sz="0" w:space="0" w:color="auto"/>
        <w:right w:val="none" w:sz="0" w:space="0" w:color="auto"/>
      </w:divBdr>
    </w:div>
    <w:div w:id="371879394">
      <w:bodyDiv w:val="1"/>
      <w:marLeft w:val="0"/>
      <w:marRight w:val="0"/>
      <w:marTop w:val="0"/>
      <w:marBottom w:val="0"/>
      <w:divBdr>
        <w:top w:val="none" w:sz="0" w:space="0" w:color="auto"/>
        <w:left w:val="none" w:sz="0" w:space="0" w:color="auto"/>
        <w:bottom w:val="none" w:sz="0" w:space="0" w:color="auto"/>
        <w:right w:val="none" w:sz="0" w:space="0" w:color="auto"/>
      </w:divBdr>
    </w:div>
    <w:div w:id="437457672">
      <w:bodyDiv w:val="1"/>
      <w:marLeft w:val="0"/>
      <w:marRight w:val="0"/>
      <w:marTop w:val="0"/>
      <w:marBottom w:val="0"/>
      <w:divBdr>
        <w:top w:val="none" w:sz="0" w:space="0" w:color="auto"/>
        <w:left w:val="none" w:sz="0" w:space="0" w:color="auto"/>
        <w:bottom w:val="none" w:sz="0" w:space="0" w:color="auto"/>
        <w:right w:val="none" w:sz="0" w:space="0" w:color="auto"/>
      </w:divBdr>
      <w:divsChild>
        <w:div w:id="182728221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25698960">
      <w:bodyDiv w:val="1"/>
      <w:marLeft w:val="0"/>
      <w:marRight w:val="0"/>
      <w:marTop w:val="0"/>
      <w:marBottom w:val="0"/>
      <w:divBdr>
        <w:top w:val="none" w:sz="0" w:space="0" w:color="auto"/>
        <w:left w:val="none" w:sz="0" w:space="0" w:color="auto"/>
        <w:bottom w:val="none" w:sz="0" w:space="0" w:color="auto"/>
        <w:right w:val="none" w:sz="0" w:space="0" w:color="auto"/>
      </w:divBdr>
    </w:div>
    <w:div w:id="1157041322">
      <w:bodyDiv w:val="1"/>
      <w:marLeft w:val="0"/>
      <w:marRight w:val="0"/>
      <w:marTop w:val="0"/>
      <w:marBottom w:val="0"/>
      <w:divBdr>
        <w:top w:val="none" w:sz="0" w:space="0" w:color="auto"/>
        <w:left w:val="none" w:sz="0" w:space="0" w:color="auto"/>
        <w:bottom w:val="none" w:sz="0" w:space="0" w:color="auto"/>
        <w:right w:val="none" w:sz="0" w:space="0" w:color="auto"/>
      </w:divBdr>
    </w:div>
    <w:div w:id="1583182537">
      <w:bodyDiv w:val="1"/>
      <w:marLeft w:val="0"/>
      <w:marRight w:val="0"/>
      <w:marTop w:val="0"/>
      <w:marBottom w:val="0"/>
      <w:divBdr>
        <w:top w:val="none" w:sz="0" w:space="0" w:color="auto"/>
        <w:left w:val="none" w:sz="0" w:space="0" w:color="auto"/>
        <w:bottom w:val="none" w:sz="0" w:space="0" w:color="auto"/>
        <w:right w:val="none" w:sz="0" w:space="0" w:color="auto"/>
      </w:divBdr>
    </w:div>
    <w:div w:id="1816876277">
      <w:bodyDiv w:val="1"/>
      <w:marLeft w:val="0"/>
      <w:marRight w:val="0"/>
      <w:marTop w:val="0"/>
      <w:marBottom w:val="0"/>
      <w:divBdr>
        <w:top w:val="none" w:sz="0" w:space="0" w:color="auto"/>
        <w:left w:val="none" w:sz="0" w:space="0" w:color="auto"/>
        <w:bottom w:val="none" w:sz="0" w:space="0" w:color="auto"/>
        <w:right w:val="none" w:sz="0" w:space="0" w:color="auto"/>
      </w:divBdr>
    </w:div>
    <w:div w:id="1924142059">
      <w:bodyDiv w:val="1"/>
      <w:marLeft w:val="0"/>
      <w:marRight w:val="0"/>
      <w:marTop w:val="0"/>
      <w:marBottom w:val="0"/>
      <w:divBdr>
        <w:top w:val="none" w:sz="0" w:space="0" w:color="auto"/>
        <w:left w:val="none" w:sz="0" w:space="0" w:color="auto"/>
        <w:bottom w:val="none" w:sz="0" w:space="0" w:color="auto"/>
        <w:right w:val="none" w:sz="0" w:space="0" w:color="auto"/>
      </w:divBdr>
    </w:div>
    <w:div w:id="1978145425">
      <w:bodyDiv w:val="1"/>
      <w:marLeft w:val="0"/>
      <w:marRight w:val="0"/>
      <w:marTop w:val="0"/>
      <w:marBottom w:val="0"/>
      <w:divBdr>
        <w:top w:val="none" w:sz="0" w:space="0" w:color="auto"/>
        <w:left w:val="none" w:sz="0" w:space="0" w:color="auto"/>
        <w:bottom w:val="none" w:sz="0" w:space="0" w:color="auto"/>
        <w:right w:val="none" w:sz="0" w:space="0" w:color="auto"/>
      </w:divBdr>
      <w:divsChild>
        <w:div w:id="1988119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5665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level-industry-placements-delivery-guidance"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level-industry-placements-delivery-guidance"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C42A8C-EEEA-45AE-88F0-FF1D002BA4D2}">
  <ds:schemaRefs>
    <ds:schemaRef ds:uri="http://schemas.microsoft.com/sharepoint/v3/contenttype/forms"/>
  </ds:schemaRefs>
</ds:datastoreItem>
</file>

<file path=customXml/itemProps2.xml><?xml version="1.0" encoding="utf-8"?>
<ds:datastoreItem xmlns:ds="http://schemas.openxmlformats.org/officeDocument/2006/customXml" ds:itemID="{979A93A7-DB7F-4C0A-AF61-5F9B008F5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32EB53FB-0F76-4410-AD94-3C1E76185D17}">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Metadata/LabelInfo.xml><?xml version="1.0" encoding="utf-8"?>
<clbl:labelList xmlns:clbl="http://schemas.microsoft.com/office/2020/mipLabelMetadata">
  <clbl:label id="{de278828-447b-4aaa-a336-d38da9839a3c}"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1146</Words>
  <Characters>6533</Characters>
  <Application>Microsoft Office Word</Application>
  <DocSecurity>0</DocSecurity>
  <Lines>54</Lines>
  <Paragraphs>15</Paragraphs>
  <ScaleCrop>false</ScaleCrop>
  <Manager/>
  <Company/>
  <LinksUpToDate>false</LinksUpToDate>
  <CharactersWithSpaces>7664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Nicki McGee</cp:lastModifiedBy>
  <cp:revision>56</cp:revision>
  <dcterms:created xsi:type="dcterms:W3CDTF">2026-07-14T00:31:00Z</dcterms:created>
  <dcterms:modified xsi:type="dcterms:W3CDTF">2026-08-06T12:31:00Z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7612ea20-2b45-4022-9d56-d989a7506fc6</vt:lpwstr>
  </property>
  <property fmtid="{D5CDD505-2E9C-101B-9397-08002B2CF9AE}" pid="5" name="Order">
    <vt:r8>633300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ClassificationContentMarkingHeaderShapeIds">
    <vt:lpwstr>41647d1f,6d46e411,14a2bd51</vt:lpwstr>
  </property>
  <property fmtid="{D5CDD505-2E9C-101B-9397-08002B2CF9AE}" pid="13" name="ClassificationContentMarkingHeaderFontProps">
    <vt:lpwstr>#000000,11,Aptos</vt:lpwstr>
  </property>
  <property fmtid="{D5CDD505-2E9C-101B-9397-08002B2CF9AE}" pid="14" name="ClassificationContentMarkingHeaderText">
    <vt:lpwstr>OFFICIAL</vt:lpwstr>
  </property>
  <property fmtid="{D5CDD505-2E9C-101B-9397-08002B2CF9AE}" pid="15" name="ClassificationContentMarkingFooterShapeIds">
    <vt:lpwstr>72836a10,4b786521,48327ebc</vt:lpwstr>
  </property>
  <property fmtid="{D5CDD505-2E9C-101B-9397-08002B2CF9AE}" pid="16" name="ClassificationContentMarkingFooterFontProps">
    <vt:lpwstr>#000000,11,Aptos</vt:lpwstr>
  </property>
  <property fmtid="{D5CDD505-2E9C-101B-9397-08002B2CF9AE}" pid="17" name="ClassificationContentMarkingFooterText">
    <vt:lpwstr>OFFICIAL</vt:lpwstr>
  </property>
</Properties>
</file>