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C5EFC" w14:textId="1C2183BC" w:rsidR="0050503B" w:rsidRPr="00C27DEA" w:rsidRDefault="00C27DEA" w:rsidP="00F3305F">
      <w:pPr>
        <w:pStyle w:val="Title"/>
        <w:spacing w:before="120" w:after="120"/>
        <w:contextualSpacing w:val="0"/>
        <w:rPr>
          <w:rFonts w:ascii="Arial" w:hAnsi="Arial" w:cs="Arial"/>
          <w:b/>
          <w:bCs/>
          <w:i/>
          <w:iCs/>
          <w:color w:val="FC4421"/>
          <w:sz w:val="36"/>
          <w:szCs w:val="36"/>
        </w:rPr>
      </w:pPr>
      <w:r w:rsidRPr="00C27DEA">
        <w:rPr>
          <w:rFonts w:ascii="Arial" w:hAnsi="Arial" w:cs="Arial"/>
          <w:b/>
          <w:bCs/>
          <w:i/>
          <w:iCs/>
          <w:color w:val="FC4421"/>
          <w:sz w:val="36"/>
          <w:szCs w:val="36"/>
        </w:rPr>
        <w:t xml:space="preserve">RESOURCE: </w:t>
      </w:r>
      <w:r w:rsidR="00C75680" w:rsidRPr="00C27DEA">
        <w:rPr>
          <w:rFonts w:ascii="Arial" w:hAnsi="Arial" w:cs="Arial"/>
          <w:b/>
          <w:bCs/>
          <w:i/>
          <w:iCs/>
          <w:color w:val="FC4421"/>
          <w:sz w:val="36"/>
          <w:szCs w:val="36"/>
        </w:rPr>
        <w:t>REVIEWING YOUR APPROACH TO EMPLOYER ENQUIRIES</w:t>
      </w:r>
      <w:r>
        <w:rPr>
          <w:rFonts w:ascii="Arial" w:hAnsi="Arial" w:cs="Arial"/>
          <w:b/>
          <w:bCs/>
          <w:i/>
          <w:iCs/>
          <w:color w:val="FC4421"/>
          <w:sz w:val="36"/>
          <w:szCs w:val="36"/>
        </w:rPr>
        <w:br/>
      </w:r>
    </w:p>
    <w:p w14:paraId="12FE9E83" w14:textId="44C7CAB1" w:rsidR="00F0602E" w:rsidRPr="00801D8E" w:rsidRDefault="00AA22D4" w:rsidP="00F3305F">
      <w:pPr>
        <w:spacing w:before="120" w:after="120"/>
        <w:rPr>
          <w:rFonts w:ascii="Arial" w:hAnsi="Arial" w:cs="Arial"/>
          <w:i/>
          <w:iCs/>
        </w:rPr>
      </w:pPr>
      <w:r w:rsidRPr="00AA22D4">
        <w:rPr>
          <w:rFonts w:ascii="Arial" w:hAnsi="Arial" w:cs="Arial"/>
          <w:i/>
          <w:iCs/>
        </w:rPr>
        <w:t>A practical tool to review and improve how your organisation records, responds to and follows up employer enquiries about T Levels.</w:t>
      </w:r>
      <w:r w:rsidR="00043834">
        <w:rPr>
          <w:rFonts w:ascii="Arial" w:hAnsi="Arial" w:cs="Arial"/>
          <w:i/>
          <w:iCs/>
        </w:rPr>
        <w:br/>
      </w:r>
    </w:p>
    <w:p w14:paraId="2BD2E7F5" w14:textId="210EC55E" w:rsidR="0050503B" w:rsidRPr="007A57B4" w:rsidRDefault="00546990" w:rsidP="00F3305F">
      <w:pPr>
        <w:pStyle w:val="Heading1"/>
        <w:spacing w:before="120" w:after="120"/>
        <w:rPr>
          <w:rFonts w:ascii="Arial" w:hAnsi="Arial" w:cs="Arial"/>
          <w:b/>
          <w:bCs/>
          <w:i/>
          <w:iCs/>
          <w:color w:val="FC4421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FC4421"/>
          <w:sz w:val="28"/>
          <w:szCs w:val="28"/>
        </w:rPr>
        <w:t>INTRODUCTION</w:t>
      </w:r>
    </w:p>
    <w:p w14:paraId="09C0F092" w14:textId="77777777" w:rsidR="009A078F" w:rsidRPr="009A078F" w:rsidRDefault="009A078F" w:rsidP="009A078F">
      <w:pPr>
        <w:spacing w:before="120" w:after="120"/>
        <w:rPr>
          <w:rFonts w:ascii="Arial" w:hAnsi="Arial" w:cs="Arial"/>
        </w:rPr>
      </w:pPr>
      <w:r w:rsidRPr="009A078F">
        <w:rPr>
          <w:rFonts w:ascii="Arial" w:hAnsi="Arial" w:cs="Arial"/>
        </w:rPr>
        <w:t>Every employer contact is the start of a potential opportunity for a student.</w:t>
      </w:r>
    </w:p>
    <w:p w14:paraId="49D9BF45" w14:textId="77777777" w:rsidR="009A078F" w:rsidRPr="009A078F" w:rsidRDefault="009A078F" w:rsidP="009A078F">
      <w:pPr>
        <w:spacing w:before="120" w:after="120"/>
        <w:rPr>
          <w:rFonts w:ascii="Arial" w:hAnsi="Arial" w:cs="Arial"/>
        </w:rPr>
      </w:pPr>
      <w:r w:rsidRPr="009A078F">
        <w:rPr>
          <w:rFonts w:ascii="Arial" w:hAnsi="Arial" w:cs="Arial"/>
        </w:rPr>
        <w:t>Research across customer-service industries shows that around 60% of people who have a poor first experience never return. The same principle applies to employers: if their first call or email is unanswered, or they receive inconsistent information, they are unlikely to re-engage.</w:t>
      </w:r>
    </w:p>
    <w:p w14:paraId="418B96AE" w14:textId="2CEFE81E" w:rsidR="009A078F" w:rsidRDefault="009A078F" w:rsidP="009A078F">
      <w:pPr>
        <w:spacing w:before="120" w:after="120"/>
        <w:rPr>
          <w:rFonts w:ascii="Arial" w:hAnsi="Arial" w:cs="Arial"/>
        </w:rPr>
      </w:pPr>
      <w:r w:rsidRPr="009A078F">
        <w:rPr>
          <w:rFonts w:ascii="Arial" w:hAnsi="Arial" w:cs="Arial"/>
        </w:rPr>
        <w:t>This tool is designed to help you avoid that outcome. It supports you to create a consistent, professional and student-centred experience from the first enquiry through to follow-up</w:t>
      </w:r>
      <w:r w:rsidR="00617611">
        <w:rPr>
          <w:rFonts w:ascii="Arial" w:hAnsi="Arial" w:cs="Arial"/>
        </w:rPr>
        <w:t>,</w:t>
      </w:r>
      <w:r w:rsidRPr="009A078F">
        <w:rPr>
          <w:rFonts w:ascii="Arial" w:hAnsi="Arial" w:cs="Arial"/>
        </w:rPr>
        <w:t xml:space="preserve"> so employers are more likely to stay involved and offer valuable opportunities for students.</w:t>
      </w:r>
    </w:p>
    <w:p w14:paraId="2320582C" w14:textId="77777777" w:rsidR="009A078F" w:rsidRDefault="009A078F" w:rsidP="009A078F">
      <w:pPr>
        <w:spacing w:before="120" w:after="120"/>
        <w:rPr>
          <w:rFonts w:ascii="Arial" w:hAnsi="Arial" w:cs="Arial"/>
        </w:rPr>
      </w:pPr>
      <w:r w:rsidRPr="009A078F">
        <w:rPr>
          <w:rFonts w:ascii="Arial" w:hAnsi="Arial" w:cs="Arial"/>
        </w:rPr>
        <w:t>At the heart of effective employer engagement are four cornerstones that underpin every interaction:</w:t>
      </w:r>
    </w:p>
    <w:p w14:paraId="451C1A44" w14:textId="77777777" w:rsidR="00357D43" w:rsidRPr="009A078F" w:rsidRDefault="00357D43" w:rsidP="009A078F">
      <w:pPr>
        <w:spacing w:before="120" w:after="120"/>
        <w:rPr>
          <w:rFonts w:ascii="Arial" w:hAnsi="Arial" w:cs="Arial"/>
        </w:rPr>
      </w:pPr>
    </w:p>
    <w:p w14:paraId="2AE343FC" w14:textId="202CA5C5" w:rsidR="009A078F" w:rsidRPr="00617611" w:rsidRDefault="009A078F" w:rsidP="009A078F">
      <w:pPr>
        <w:spacing w:before="120" w:after="120"/>
        <w:rPr>
          <w:rFonts w:ascii="Arial" w:eastAsiaTheme="majorEastAsia" w:hAnsi="Arial" w:cs="Arial"/>
          <w:b/>
          <w:bCs/>
          <w:i/>
          <w:iCs/>
          <w:color w:val="FC4421"/>
          <w:sz w:val="28"/>
          <w:szCs w:val="28"/>
        </w:rPr>
      </w:pPr>
      <w:r w:rsidRPr="00617611">
        <w:rPr>
          <w:rFonts w:ascii="Arial" w:eastAsiaTheme="majorEastAsia" w:hAnsi="Arial" w:cs="Arial"/>
          <w:b/>
          <w:bCs/>
          <w:i/>
          <w:iCs/>
          <w:color w:val="FC4421"/>
          <w:sz w:val="28"/>
          <w:szCs w:val="28"/>
        </w:rPr>
        <w:t>T</w:t>
      </w:r>
      <w:r w:rsidR="00357D43">
        <w:rPr>
          <w:rFonts w:ascii="Arial" w:eastAsiaTheme="majorEastAsia" w:hAnsi="Arial" w:cs="Arial"/>
          <w:b/>
          <w:bCs/>
          <w:i/>
          <w:iCs/>
          <w:color w:val="FC4421"/>
          <w:sz w:val="28"/>
          <w:szCs w:val="28"/>
        </w:rPr>
        <w:t>HE FOUR CORNERSTONES</w:t>
      </w:r>
    </w:p>
    <w:p w14:paraId="151C521F" w14:textId="77777777" w:rsidR="00357D43" w:rsidRPr="00357D43" w:rsidRDefault="00357D43" w:rsidP="00357D43">
      <w:pPr>
        <w:numPr>
          <w:ilvl w:val="0"/>
          <w:numId w:val="9"/>
        </w:numPr>
        <w:spacing w:before="120" w:after="120"/>
        <w:rPr>
          <w:rFonts w:ascii="Arial" w:hAnsi="Arial" w:cs="Arial"/>
        </w:rPr>
      </w:pPr>
      <w:r w:rsidRPr="00357D43">
        <w:rPr>
          <w:rFonts w:ascii="Arial" w:hAnsi="Arial" w:cs="Arial"/>
          <w:b/>
          <w:bCs/>
        </w:rPr>
        <w:t>Customer focus</w:t>
      </w:r>
      <w:r w:rsidRPr="00357D43">
        <w:rPr>
          <w:rFonts w:ascii="Arial" w:hAnsi="Arial" w:cs="Arial"/>
        </w:rPr>
        <w:t xml:space="preserve"> – understand the employer’s needs and make it easy for them to engage.</w:t>
      </w:r>
    </w:p>
    <w:p w14:paraId="7A8721D6" w14:textId="77777777" w:rsidR="00357D43" w:rsidRPr="00357D43" w:rsidRDefault="00357D43" w:rsidP="00357D43">
      <w:pPr>
        <w:numPr>
          <w:ilvl w:val="0"/>
          <w:numId w:val="9"/>
        </w:numPr>
        <w:spacing w:before="120" w:after="120"/>
        <w:rPr>
          <w:rFonts w:ascii="Arial" w:hAnsi="Arial" w:cs="Arial"/>
        </w:rPr>
      </w:pPr>
      <w:r w:rsidRPr="00357D43">
        <w:rPr>
          <w:rFonts w:ascii="Arial" w:hAnsi="Arial" w:cs="Arial"/>
          <w:b/>
          <w:bCs/>
        </w:rPr>
        <w:t>Clarity and accuracy</w:t>
      </w:r>
      <w:r w:rsidRPr="00357D43">
        <w:rPr>
          <w:rFonts w:ascii="Arial" w:hAnsi="Arial" w:cs="Arial"/>
        </w:rPr>
        <w:t xml:space="preserve"> – provide reliable, concise information that builds confidence.</w:t>
      </w:r>
    </w:p>
    <w:p w14:paraId="2D29FFE3" w14:textId="77777777" w:rsidR="00357D43" w:rsidRPr="00357D43" w:rsidRDefault="00357D43" w:rsidP="00357D43">
      <w:pPr>
        <w:numPr>
          <w:ilvl w:val="0"/>
          <w:numId w:val="9"/>
        </w:numPr>
        <w:spacing w:before="120" w:after="120"/>
        <w:rPr>
          <w:rFonts w:ascii="Arial" w:hAnsi="Arial" w:cs="Arial"/>
        </w:rPr>
      </w:pPr>
      <w:r w:rsidRPr="00357D43">
        <w:rPr>
          <w:rFonts w:ascii="Arial" w:hAnsi="Arial" w:cs="Arial"/>
          <w:b/>
          <w:bCs/>
        </w:rPr>
        <w:t>Collaboration and coordination</w:t>
      </w:r>
      <w:r w:rsidRPr="00357D43">
        <w:rPr>
          <w:rFonts w:ascii="Arial" w:hAnsi="Arial" w:cs="Arial"/>
        </w:rPr>
        <w:t xml:space="preserve"> – ensure teams work together so employers experience one joined-up organisation.</w:t>
      </w:r>
    </w:p>
    <w:p w14:paraId="3F4A65BB" w14:textId="77777777" w:rsidR="00357D43" w:rsidRPr="00357D43" w:rsidRDefault="00357D43" w:rsidP="00357D43">
      <w:pPr>
        <w:numPr>
          <w:ilvl w:val="0"/>
          <w:numId w:val="9"/>
        </w:numPr>
        <w:spacing w:before="120" w:after="120"/>
        <w:rPr>
          <w:rFonts w:ascii="Arial" w:hAnsi="Arial" w:cs="Arial"/>
        </w:rPr>
      </w:pPr>
      <w:r w:rsidRPr="00357D43">
        <w:rPr>
          <w:rFonts w:ascii="Arial" w:hAnsi="Arial" w:cs="Arial"/>
          <w:b/>
          <w:bCs/>
        </w:rPr>
        <w:t>Continuous improvement</w:t>
      </w:r>
      <w:r w:rsidRPr="00357D43">
        <w:rPr>
          <w:rFonts w:ascii="Arial" w:hAnsi="Arial" w:cs="Arial"/>
        </w:rPr>
        <w:t xml:space="preserve"> – use data and feedback to refine your approach and keep employers warm between placements.</w:t>
      </w:r>
    </w:p>
    <w:p w14:paraId="00347B7A" w14:textId="77777777" w:rsidR="004D3758" w:rsidRDefault="004D3758" w:rsidP="00357D43">
      <w:pPr>
        <w:spacing w:before="120" w:after="120"/>
        <w:rPr>
          <w:rFonts w:ascii="Arial" w:hAnsi="Arial" w:cs="Arial"/>
        </w:rPr>
      </w:pPr>
      <w:r w:rsidRPr="004D3758">
        <w:rPr>
          <w:rFonts w:ascii="Arial" w:hAnsi="Arial" w:cs="Arial"/>
        </w:rPr>
        <w:t>Together, these cornerstones ensure that every enquiry leads to a joined-up and positive experience for the employer, improving the likelihood of repeat engagement.</w:t>
      </w:r>
    </w:p>
    <w:p w14:paraId="242D8E9A" w14:textId="62876B83" w:rsidR="00357D43" w:rsidRPr="00357D43" w:rsidRDefault="00357D43" w:rsidP="00357D43">
      <w:pPr>
        <w:spacing w:before="120" w:after="120"/>
        <w:rPr>
          <w:rFonts w:ascii="Arial" w:hAnsi="Arial" w:cs="Arial"/>
        </w:rPr>
      </w:pPr>
      <w:r w:rsidRPr="00357D43">
        <w:rPr>
          <w:rFonts w:ascii="Arial" w:hAnsi="Arial" w:cs="Arial"/>
        </w:rPr>
        <w:t xml:space="preserve">At the centre of all four sits the principle of </w:t>
      </w:r>
      <w:r w:rsidR="00B53608">
        <w:rPr>
          <w:rFonts w:ascii="Arial" w:hAnsi="Arial" w:cs="Arial"/>
          <w:i/>
          <w:iCs/>
        </w:rPr>
        <w:t>s</w:t>
      </w:r>
      <w:r w:rsidRPr="00357D43">
        <w:rPr>
          <w:rFonts w:ascii="Arial" w:hAnsi="Arial" w:cs="Arial"/>
          <w:i/>
          <w:iCs/>
        </w:rPr>
        <w:t>ell the student, not the course</w:t>
      </w:r>
      <w:r w:rsidRPr="00357D43">
        <w:rPr>
          <w:rFonts w:ascii="Arial" w:hAnsi="Arial" w:cs="Arial"/>
        </w:rPr>
        <w:t>. Every contact should focus on the skills, enthusiasm and value your students can bring.</w:t>
      </w:r>
    </w:p>
    <w:p w14:paraId="258F18CC" w14:textId="77777777" w:rsidR="00357D43" w:rsidRDefault="00357D43" w:rsidP="009A078F">
      <w:pPr>
        <w:spacing w:before="120" w:after="120"/>
        <w:rPr>
          <w:rFonts w:ascii="Arial" w:hAnsi="Arial" w:cs="Arial"/>
        </w:rPr>
      </w:pPr>
    </w:p>
    <w:p w14:paraId="35AC7DDF" w14:textId="4F0EDCC5" w:rsidR="00357D43" w:rsidRPr="00617611" w:rsidRDefault="00357D43" w:rsidP="00357D43">
      <w:pPr>
        <w:spacing w:before="120" w:after="120"/>
        <w:rPr>
          <w:rFonts w:ascii="Arial" w:eastAsiaTheme="majorEastAsia" w:hAnsi="Arial" w:cs="Arial"/>
          <w:b/>
          <w:bCs/>
          <w:i/>
          <w:iCs/>
          <w:color w:val="FC4421"/>
          <w:sz w:val="28"/>
          <w:szCs w:val="28"/>
        </w:rPr>
      </w:pPr>
      <w:r>
        <w:rPr>
          <w:rFonts w:ascii="Arial" w:eastAsiaTheme="majorEastAsia" w:hAnsi="Arial" w:cs="Arial"/>
          <w:b/>
          <w:bCs/>
          <w:i/>
          <w:iCs/>
          <w:color w:val="FC4421"/>
          <w:sz w:val="28"/>
          <w:szCs w:val="28"/>
        </w:rPr>
        <w:t>HOW TO USE THIS TOOL</w:t>
      </w:r>
    </w:p>
    <w:p w14:paraId="1ABA05A1" w14:textId="77777777" w:rsidR="00B53608" w:rsidRPr="00B53608" w:rsidRDefault="00B53608" w:rsidP="00B53608">
      <w:pPr>
        <w:spacing w:before="120" w:after="120"/>
        <w:rPr>
          <w:rFonts w:ascii="Arial" w:hAnsi="Arial" w:cs="Arial"/>
        </w:rPr>
      </w:pPr>
      <w:r w:rsidRPr="00B53608">
        <w:rPr>
          <w:rFonts w:ascii="Arial" w:hAnsi="Arial" w:cs="Arial"/>
        </w:rPr>
        <w:t>There are four sections to help you review and improve your approach to employer enquiries:</w:t>
      </w:r>
    </w:p>
    <w:p w14:paraId="6D76C435" w14:textId="77777777" w:rsidR="00B53608" w:rsidRPr="00B53608" w:rsidRDefault="00B53608" w:rsidP="00B53608">
      <w:pPr>
        <w:numPr>
          <w:ilvl w:val="0"/>
          <w:numId w:val="10"/>
        </w:numPr>
        <w:spacing w:before="120" w:after="120"/>
        <w:rPr>
          <w:rFonts w:ascii="Arial" w:hAnsi="Arial" w:cs="Arial"/>
        </w:rPr>
      </w:pPr>
      <w:r w:rsidRPr="00B53608">
        <w:rPr>
          <w:rFonts w:ascii="Arial" w:hAnsi="Arial" w:cs="Arial"/>
        </w:rPr>
        <w:t>Recording and tracking employer enquiries</w:t>
      </w:r>
    </w:p>
    <w:p w14:paraId="0052137A" w14:textId="77777777" w:rsidR="00B53608" w:rsidRPr="00B53608" w:rsidRDefault="00B53608" w:rsidP="00B53608">
      <w:pPr>
        <w:numPr>
          <w:ilvl w:val="0"/>
          <w:numId w:val="10"/>
        </w:numPr>
        <w:spacing w:before="120" w:after="120"/>
        <w:rPr>
          <w:rFonts w:ascii="Arial" w:hAnsi="Arial" w:cs="Arial"/>
        </w:rPr>
      </w:pPr>
      <w:r w:rsidRPr="00B53608">
        <w:rPr>
          <w:rFonts w:ascii="Arial" w:hAnsi="Arial" w:cs="Arial"/>
        </w:rPr>
        <w:t>Responding to employer enquiries</w:t>
      </w:r>
    </w:p>
    <w:p w14:paraId="67C1EA49" w14:textId="77777777" w:rsidR="00B53608" w:rsidRPr="00B53608" w:rsidRDefault="00B53608" w:rsidP="00B53608">
      <w:pPr>
        <w:numPr>
          <w:ilvl w:val="0"/>
          <w:numId w:val="10"/>
        </w:numPr>
        <w:spacing w:before="120" w:after="120"/>
        <w:rPr>
          <w:rFonts w:ascii="Arial" w:hAnsi="Arial" w:cs="Arial"/>
        </w:rPr>
      </w:pPr>
      <w:r w:rsidRPr="00B53608">
        <w:rPr>
          <w:rFonts w:ascii="Arial" w:hAnsi="Arial" w:cs="Arial"/>
        </w:rPr>
        <w:lastRenderedPageBreak/>
        <w:t>Providing information and guidance to employers</w:t>
      </w:r>
    </w:p>
    <w:p w14:paraId="1545F0DA" w14:textId="77777777" w:rsidR="00B53608" w:rsidRPr="00B53608" w:rsidRDefault="00B53608" w:rsidP="00B53608">
      <w:pPr>
        <w:numPr>
          <w:ilvl w:val="0"/>
          <w:numId w:val="10"/>
        </w:numPr>
        <w:spacing w:before="120" w:after="120"/>
        <w:rPr>
          <w:rFonts w:ascii="Arial" w:hAnsi="Arial" w:cs="Arial"/>
        </w:rPr>
      </w:pPr>
      <w:r w:rsidRPr="00B53608">
        <w:rPr>
          <w:rFonts w:ascii="Arial" w:hAnsi="Arial" w:cs="Arial"/>
        </w:rPr>
        <w:t>Following up and closing employer enquiries</w:t>
      </w:r>
    </w:p>
    <w:p w14:paraId="3735A680" w14:textId="52518D64" w:rsidR="00B53608" w:rsidRPr="00B53608" w:rsidRDefault="00B53608" w:rsidP="00B53608">
      <w:pPr>
        <w:spacing w:before="120" w:after="120"/>
        <w:rPr>
          <w:rFonts w:ascii="Arial" w:hAnsi="Arial" w:cs="Arial"/>
        </w:rPr>
      </w:pPr>
      <w:r w:rsidRPr="00B53608">
        <w:rPr>
          <w:rFonts w:ascii="Arial" w:hAnsi="Arial" w:cs="Arial"/>
        </w:rPr>
        <w:t>For each section you will find statements that describe good practice, along with suggested improvement ideas.</w:t>
      </w:r>
      <w:r w:rsidR="002F2E8A">
        <w:rPr>
          <w:rFonts w:ascii="Arial" w:hAnsi="Arial" w:cs="Arial"/>
        </w:rPr>
        <w:t xml:space="preserve"> There are also blank </w:t>
      </w:r>
      <w:r w:rsidR="007B5CED">
        <w:rPr>
          <w:rFonts w:ascii="Arial" w:hAnsi="Arial" w:cs="Arial"/>
        </w:rPr>
        <w:t xml:space="preserve">boxes for you to add your own statements where applicable. </w:t>
      </w:r>
      <w:r w:rsidRPr="00B53608">
        <w:rPr>
          <w:rFonts w:ascii="Arial" w:hAnsi="Arial" w:cs="Arial"/>
        </w:rPr>
        <w:t>You can use the tables individually, as a team, or during a wider self-assessment activity.</w:t>
      </w:r>
    </w:p>
    <w:p w14:paraId="20414508" w14:textId="77777777" w:rsidR="00B53608" w:rsidRPr="00B53608" w:rsidRDefault="00B53608" w:rsidP="00B53608">
      <w:pPr>
        <w:spacing w:before="120" w:after="120"/>
        <w:rPr>
          <w:rFonts w:ascii="Arial" w:hAnsi="Arial" w:cs="Arial"/>
        </w:rPr>
      </w:pPr>
      <w:r w:rsidRPr="00B53608">
        <w:rPr>
          <w:rFonts w:ascii="Arial" w:hAnsi="Arial" w:cs="Arial"/>
        </w:rPr>
        <w:t>Use this tool to:</w:t>
      </w:r>
    </w:p>
    <w:p w14:paraId="03021728" w14:textId="77777777" w:rsidR="00B53608" w:rsidRPr="00B53608" w:rsidRDefault="00B53608" w:rsidP="00B53608">
      <w:pPr>
        <w:numPr>
          <w:ilvl w:val="0"/>
          <w:numId w:val="11"/>
        </w:numPr>
        <w:spacing w:before="120" w:after="120"/>
        <w:rPr>
          <w:rFonts w:ascii="Arial" w:hAnsi="Arial" w:cs="Arial"/>
        </w:rPr>
      </w:pPr>
      <w:r w:rsidRPr="00B53608">
        <w:rPr>
          <w:rFonts w:ascii="Arial" w:hAnsi="Arial" w:cs="Arial"/>
        </w:rPr>
        <w:t>Identify what is working well and where there are gaps.</w:t>
      </w:r>
    </w:p>
    <w:p w14:paraId="023F0571" w14:textId="77777777" w:rsidR="00B53608" w:rsidRPr="00B53608" w:rsidRDefault="00B53608" w:rsidP="00B53608">
      <w:pPr>
        <w:numPr>
          <w:ilvl w:val="0"/>
          <w:numId w:val="11"/>
        </w:numPr>
        <w:spacing w:before="120" w:after="120"/>
        <w:rPr>
          <w:rFonts w:ascii="Arial" w:hAnsi="Arial" w:cs="Arial"/>
        </w:rPr>
      </w:pPr>
      <w:r w:rsidRPr="00B53608">
        <w:rPr>
          <w:rFonts w:ascii="Arial" w:hAnsi="Arial" w:cs="Arial"/>
        </w:rPr>
        <w:t>Plan specific actions to strengthen your systems and processes.</w:t>
      </w:r>
    </w:p>
    <w:p w14:paraId="46C08476" w14:textId="6779AC10" w:rsidR="00B53608" w:rsidRDefault="00B53608" w:rsidP="00B53608">
      <w:pPr>
        <w:numPr>
          <w:ilvl w:val="0"/>
          <w:numId w:val="11"/>
        </w:numPr>
        <w:spacing w:before="120" w:after="120"/>
        <w:rPr>
          <w:rFonts w:ascii="Arial" w:hAnsi="Arial" w:cs="Arial"/>
        </w:rPr>
      </w:pPr>
      <w:r w:rsidRPr="00B53608">
        <w:rPr>
          <w:rFonts w:ascii="Arial" w:hAnsi="Arial" w:cs="Arial"/>
        </w:rPr>
        <w:t>Promote a shared, cross-</w:t>
      </w:r>
      <w:r w:rsidR="00662034">
        <w:rPr>
          <w:rFonts w:ascii="Arial" w:hAnsi="Arial" w:cs="Arial"/>
        </w:rPr>
        <w:t>provider</w:t>
      </w:r>
      <w:r w:rsidRPr="00B53608">
        <w:rPr>
          <w:rFonts w:ascii="Arial" w:hAnsi="Arial" w:cs="Arial"/>
        </w:rPr>
        <w:t xml:space="preserve"> approach to employer engagement.</w:t>
      </w:r>
    </w:p>
    <w:p w14:paraId="4F0B9ACB" w14:textId="77777777" w:rsidR="003B5287" w:rsidRPr="00B53608" w:rsidRDefault="003B5287" w:rsidP="003B5287">
      <w:pPr>
        <w:spacing w:before="120" w:after="120"/>
        <w:rPr>
          <w:rFonts w:ascii="Arial" w:hAnsi="Arial" w:cs="Arial"/>
        </w:rPr>
      </w:pPr>
    </w:p>
    <w:p w14:paraId="1BBE0AF5" w14:textId="2A13BE61" w:rsidR="0050503B" w:rsidRPr="007A57B4" w:rsidRDefault="008B0499" w:rsidP="00F3305F">
      <w:pPr>
        <w:pStyle w:val="Heading1"/>
        <w:spacing w:before="120" w:after="120"/>
        <w:rPr>
          <w:rFonts w:ascii="Arial" w:hAnsi="Arial" w:cs="Arial"/>
          <w:b/>
          <w:bCs/>
          <w:i/>
          <w:iCs/>
          <w:color w:val="FC4421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FC4421"/>
          <w:sz w:val="28"/>
          <w:szCs w:val="28"/>
        </w:rPr>
        <w:t xml:space="preserve">NEXT STEPS </w:t>
      </w:r>
    </w:p>
    <w:p w14:paraId="49DBDFA7" w14:textId="1486C123" w:rsidR="00ED1118" w:rsidRPr="00ED1118" w:rsidRDefault="004739C7" w:rsidP="00ED1118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After completing this tool</w:t>
      </w:r>
      <w:r w:rsidR="00ED1118" w:rsidRPr="00ED1118">
        <w:rPr>
          <w:rFonts w:ascii="Arial" w:hAnsi="Arial" w:cs="Arial"/>
        </w:rPr>
        <w:t>:</w:t>
      </w:r>
    </w:p>
    <w:p w14:paraId="75733552" w14:textId="4DC99B94" w:rsidR="000B7D38" w:rsidRPr="000B7D38" w:rsidRDefault="000B7D38" w:rsidP="000B7D38">
      <w:pPr>
        <w:numPr>
          <w:ilvl w:val="0"/>
          <w:numId w:val="11"/>
        </w:numPr>
        <w:spacing w:before="120" w:after="120"/>
        <w:rPr>
          <w:rFonts w:ascii="Arial" w:hAnsi="Arial" w:cs="Arial"/>
        </w:rPr>
      </w:pPr>
      <w:r w:rsidRPr="000B7D38">
        <w:rPr>
          <w:rFonts w:ascii="Arial" w:hAnsi="Arial" w:cs="Arial"/>
        </w:rPr>
        <w:t>Summarise key strengths and development areas.</w:t>
      </w:r>
    </w:p>
    <w:p w14:paraId="5FD184FF" w14:textId="20BBD1A5" w:rsidR="000B7D38" w:rsidRPr="000B7D38" w:rsidRDefault="000B7D38" w:rsidP="000B7D38">
      <w:pPr>
        <w:numPr>
          <w:ilvl w:val="0"/>
          <w:numId w:val="11"/>
        </w:numPr>
        <w:spacing w:before="120" w:after="120"/>
        <w:rPr>
          <w:rFonts w:ascii="Arial" w:hAnsi="Arial" w:cs="Arial"/>
        </w:rPr>
      </w:pPr>
      <w:r w:rsidRPr="000B7D38">
        <w:rPr>
          <w:rFonts w:ascii="Arial" w:hAnsi="Arial" w:cs="Arial"/>
        </w:rPr>
        <w:t>Prioritise two or three quick wins to improve the employer experience.</w:t>
      </w:r>
    </w:p>
    <w:p w14:paraId="03E80E5F" w14:textId="0BDCD329" w:rsidR="000B7D38" w:rsidRPr="000B7D38" w:rsidRDefault="000B7D38" w:rsidP="000B7D38">
      <w:pPr>
        <w:numPr>
          <w:ilvl w:val="0"/>
          <w:numId w:val="11"/>
        </w:numPr>
        <w:spacing w:before="120" w:after="120"/>
        <w:rPr>
          <w:rFonts w:ascii="Arial" w:hAnsi="Arial" w:cs="Arial"/>
        </w:rPr>
      </w:pPr>
      <w:r w:rsidRPr="000B7D38">
        <w:rPr>
          <w:rFonts w:ascii="Arial" w:hAnsi="Arial" w:cs="Arial"/>
        </w:rPr>
        <w:t>Revisit progress termly and update your action plan.</w:t>
      </w:r>
    </w:p>
    <w:p w14:paraId="2CC1EAF1" w14:textId="5FEB7398" w:rsidR="008A6D2E" w:rsidRDefault="002F2E8A" w:rsidP="00F3305F">
      <w:pPr>
        <w:spacing w:before="120" w:after="120"/>
        <w:rPr>
          <w:rFonts w:ascii="Arial" w:hAnsi="Arial" w:cs="Arial"/>
        </w:rPr>
      </w:pPr>
      <w:r w:rsidRPr="002F2E8A">
        <w:rPr>
          <w:rFonts w:ascii="Arial" w:hAnsi="Arial" w:cs="Arial"/>
        </w:rPr>
        <w:t>Handling employer enquiries effectively builds confidence in your organisation, strengthens relationships and increases the number of high-quality opportunities for students. Keep the four cornerstones in mind, with “sell the student” at the centre, and you will create a lasting, positive impression every time an employer gets in touch.</w:t>
      </w:r>
    </w:p>
    <w:p w14:paraId="2E49C91D" w14:textId="77777777" w:rsidR="002F2E8A" w:rsidRDefault="002F2E8A" w:rsidP="00F3305F">
      <w:pPr>
        <w:spacing w:before="120" w:after="120"/>
        <w:rPr>
          <w:rFonts w:ascii="Arial" w:hAnsi="Arial" w:cs="Arial"/>
        </w:rPr>
      </w:pPr>
    </w:p>
    <w:p w14:paraId="42B056DD" w14:textId="77777777" w:rsidR="002F2E8A" w:rsidRDefault="002F2E8A" w:rsidP="00F3305F">
      <w:pPr>
        <w:spacing w:before="120" w:after="120"/>
        <w:rPr>
          <w:rFonts w:ascii="Arial" w:hAnsi="Arial" w:cs="Arial"/>
        </w:rPr>
      </w:pPr>
    </w:p>
    <w:p w14:paraId="74742034" w14:textId="47AB84CD" w:rsidR="007C39D6" w:rsidRPr="004B696B" w:rsidRDefault="003B76D2" w:rsidP="00F3305F">
      <w:pPr>
        <w:spacing w:before="120" w:after="120"/>
        <w:rPr>
          <w:rFonts w:ascii="Arial" w:hAnsi="Arial" w:cs="Arial"/>
        </w:rPr>
        <w:sectPr w:rsidR="007C39D6" w:rsidRPr="004B696B" w:rsidSect="00E60615">
          <w:headerReference w:type="default" r:id="rId11"/>
          <w:footerReference w:type="default" r:id="rId12"/>
          <w:pgSz w:w="11906" w:h="16838"/>
          <w:pgMar w:top="1843" w:right="1440" w:bottom="1440" w:left="1440" w:header="708" w:footer="708" w:gutter="0"/>
          <w:cols w:space="708"/>
          <w:docGrid w:linePitch="360"/>
        </w:sectPr>
      </w:pPr>
      <w:r w:rsidRPr="004739C7">
        <w:rPr>
          <w:rFonts w:ascii="Arial" w:hAnsi="Arial" w:cs="Arial"/>
          <w:u w:val="single"/>
        </w:rPr>
        <w:t>Please Note: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T</w:t>
      </w:r>
      <w:r w:rsidRPr="003B76D2">
        <w:rPr>
          <w:rFonts w:ascii="Arial" w:hAnsi="Arial" w:cs="Arial"/>
        </w:rPr>
        <w:t xml:space="preserve">his is a practical tool to review your day-to-day systems and processes. If you want to take a wider look at how employers experience your organisation, start with the </w:t>
      </w:r>
      <w:hyperlink r:id="rId13" w:history="1">
        <w:r w:rsidRPr="004739C7">
          <w:rPr>
            <w:rStyle w:val="Hyperlink"/>
            <w:rFonts w:ascii="Arial" w:hAnsi="Arial" w:cs="Arial"/>
          </w:rPr>
          <w:t>Developing your employer journey</w:t>
        </w:r>
      </w:hyperlink>
      <w:r w:rsidRPr="003B76D2">
        <w:rPr>
          <w:rFonts w:ascii="Arial" w:hAnsi="Arial" w:cs="Arial"/>
        </w:rPr>
        <w:t xml:space="preserve"> resource.</w:t>
      </w:r>
    </w:p>
    <w:p w14:paraId="67556C71" w14:textId="24562258" w:rsidR="0050503B" w:rsidRPr="007A57B4" w:rsidRDefault="0050503B" w:rsidP="00F3305F">
      <w:pPr>
        <w:pStyle w:val="Heading1"/>
        <w:spacing w:before="120" w:after="120"/>
        <w:rPr>
          <w:rFonts w:ascii="Arial" w:hAnsi="Arial" w:cs="Arial"/>
          <w:b/>
          <w:bCs/>
          <w:i/>
          <w:iCs/>
          <w:color w:val="FC4421"/>
          <w:sz w:val="28"/>
          <w:szCs w:val="28"/>
        </w:rPr>
      </w:pPr>
      <w:r w:rsidRPr="007A57B4">
        <w:rPr>
          <w:rFonts w:ascii="Arial" w:hAnsi="Arial" w:cs="Arial"/>
          <w:b/>
          <w:bCs/>
          <w:i/>
          <w:iCs/>
          <w:color w:val="FC4421"/>
          <w:sz w:val="28"/>
          <w:szCs w:val="28"/>
        </w:rPr>
        <w:lastRenderedPageBreak/>
        <w:t xml:space="preserve">Section 1: Recording and tracking employer </w:t>
      </w:r>
      <w:r w:rsidR="007A57B4" w:rsidRPr="007A57B4">
        <w:rPr>
          <w:rFonts w:ascii="Arial" w:hAnsi="Arial" w:cs="Arial"/>
          <w:b/>
          <w:bCs/>
          <w:i/>
          <w:iCs/>
          <w:color w:val="FC4421"/>
          <w:sz w:val="28"/>
          <w:szCs w:val="28"/>
        </w:rPr>
        <w:t>enquiries.</w:t>
      </w:r>
    </w:p>
    <w:p w14:paraId="59461CBC" w14:textId="47D34C10" w:rsidR="0050503B" w:rsidRDefault="00C20B1E" w:rsidP="00F3305F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How you capture and share information about employer enquiries</w:t>
      </w:r>
      <w:r w:rsidR="00F12EC2">
        <w:rPr>
          <w:rFonts w:ascii="Arial" w:hAnsi="Arial" w:cs="Arial"/>
        </w:rPr>
        <w:t>.</w:t>
      </w:r>
    </w:p>
    <w:p w14:paraId="2E3BD125" w14:textId="0CF0F5B0" w:rsidR="00F12EC2" w:rsidRPr="002645F7" w:rsidRDefault="002645F7" w:rsidP="00F3305F">
      <w:pPr>
        <w:spacing w:before="120" w:after="120"/>
        <w:rPr>
          <w:rFonts w:ascii="Arial" w:hAnsi="Arial" w:cs="Arial"/>
          <w:i/>
          <w:iCs/>
        </w:rPr>
      </w:pPr>
      <w:r w:rsidRPr="002645F7">
        <w:rPr>
          <w:rFonts w:ascii="Arial" w:hAnsi="Arial" w:cs="Arial"/>
          <w:i/>
          <w:iCs/>
          <w:u w:val="single"/>
        </w:rPr>
        <w:t>Recording engagement data</w:t>
      </w:r>
      <w:r w:rsidRPr="002645F7">
        <w:rPr>
          <w:rFonts w:ascii="Arial" w:hAnsi="Arial" w:cs="Arial"/>
          <w:i/>
          <w:iCs/>
        </w:rPr>
        <w:br/>
        <w:t>Use a shared log or system to record each enquiry, including employer name, contact details, enquiry type, stage of engagement and next steps. If your organisation uses a separate platform to track student industry placements, aim to connect the two systems to avoid duplication and give a joined-up view of employer activity.</w:t>
      </w:r>
    </w:p>
    <w:tbl>
      <w:tblPr>
        <w:tblStyle w:val="PlainTable1"/>
        <w:tblW w:w="14029" w:type="dxa"/>
        <w:tblBorders>
          <w:top w:val="single" w:sz="4" w:space="0" w:color="FC4421"/>
          <w:left w:val="single" w:sz="4" w:space="0" w:color="FC4421"/>
          <w:bottom w:val="single" w:sz="4" w:space="0" w:color="FC4421"/>
          <w:right w:val="single" w:sz="4" w:space="0" w:color="FC4421"/>
          <w:insideH w:val="single" w:sz="4" w:space="0" w:color="FC4421"/>
          <w:insideV w:val="single" w:sz="4" w:space="0" w:color="FC4421"/>
        </w:tblBorders>
        <w:tblLayout w:type="fixed"/>
        <w:tblLook w:val="0420" w:firstRow="1" w:lastRow="0" w:firstColumn="0" w:lastColumn="0" w:noHBand="0" w:noVBand="1"/>
      </w:tblPr>
      <w:tblGrid>
        <w:gridCol w:w="4676"/>
        <w:gridCol w:w="4676"/>
        <w:gridCol w:w="4677"/>
      </w:tblGrid>
      <w:tr w:rsidR="00C20B1E" w:rsidRPr="00F36BDF" w14:paraId="644FFC3E" w14:textId="23D9395C" w:rsidTr="00C20B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4676" w:type="dxa"/>
            <w:shd w:val="clear" w:color="auto" w:fill="FC4421"/>
          </w:tcPr>
          <w:p w14:paraId="7026C09B" w14:textId="5E8B3493" w:rsidR="00C20B1E" w:rsidRPr="00F36BDF" w:rsidRDefault="00C20B1E" w:rsidP="00F3305F">
            <w:pPr>
              <w:spacing w:before="120" w:after="120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Good</w:t>
            </w:r>
            <w:r w:rsidR="008515F4">
              <w:rPr>
                <w:rFonts w:ascii="Arial" w:hAnsi="Arial" w:cs="Arial"/>
                <w:color w:val="FFFFFF" w:themeColor="background1"/>
              </w:rPr>
              <w:t xml:space="preserve"> practice s</w:t>
            </w:r>
            <w:r w:rsidRPr="00F36BDF">
              <w:rPr>
                <w:rFonts w:ascii="Arial" w:hAnsi="Arial" w:cs="Arial"/>
                <w:color w:val="FFFFFF" w:themeColor="background1"/>
              </w:rPr>
              <w:t>tatement</w:t>
            </w:r>
          </w:p>
        </w:tc>
        <w:tc>
          <w:tcPr>
            <w:tcW w:w="4676" w:type="dxa"/>
            <w:shd w:val="clear" w:color="auto" w:fill="FC4421"/>
          </w:tcPr>
          <w:p w14:paraId="3E692F7F" w14:textId="78BE6CD1" w:rsidR="00C20B1E" w:rsidRPr="00F36BDF" w:rsidRDefault="008515F4" w:rsidP="00F3305F">
            <w:pPr>
              <w:spacing w:before="120" w:after="120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Suggested improvement ideas</w:t>
            </w:r>
          </w:p>
        </w:tc>
        <w:tc>
          <w:tcPr>
            <w:tcW w:w="4677" w:type="dxa"/>
            <w:shd w:val="clear" w:color="auto" w:fill="FC4421"/>
          </w:tcPr>
          <w:p w14:paraId="5F7A4095" w14:textId="11B90C2D" w:rsidR="00C20B1E" w:rsidRPr="00F36BDF" w:rsidRDefault="00C20B1E" w:rsidP="00F3305F">
            <w:pPr>
              <w:spacing w:before="120" w:after="120"/>
              <w:rPr>
                <w:rFonts w:ascii="Arial" w:hAnsi="Arial" w:cs="Arial"/>
                <w:color w:val="FFFFFF" w:themeColor="background1"/>
              </w:rPr>
            </w:pPr>
            <w:r w:rsidRPr="00F36BDF">
              <w:rPr>
                <w:rFonts w:ascii="Arial" w:hAnsi="Arial" w:cs="Arial"/>
                <w:color w:val="FFFFFF" w:themeColor="background1"/>
              </w:rPr>
              <w:t>Action</w:t>
            </w:r>
            <w:r w:rsidR="008515F4">
              <w:rPr>
                <w:rFonts w:ascii="Arial" w:hAnsi="Arial" w:cs="Arial"/>
                <w:color w:val="FFFFFF" w:themeColor="background1"/>
              </w:rPr>
              <w:t xml:space="preserve"> / owner</w:t>
            </w:r>
          </w:p>
        </w:tc>
      </w:tr>
      <w:tr w:rsidR="00C20B1E" w:rsidRPr="002F5E35" w14:paraId="3FC5431C" w14:textId="700C7CE0" w:rsidTr="00C20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676" w:type="dxa"/>
          </w:tcPr>
          <w:p w14:paraId="196503C7" w14:textId="512D0AF6" w:rsidR="00C20B1E" w:rsidRPr="00CB39F3" w:rsidRDefault="000D0F59" w:rsidP="00F3305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D0F59">
              <w:rPr>
                <w:rFonts w:ascii="Arial" w:hAnsi="Arial" w:cs="Arial"/>
                <w:sz w:val="22"/>
                <w:szCs w:val="22"/>
              </w:rPr>
              <w:t>We record all employer enquiries in one place (CRM, spreadsheet or shared log) that all relevant teams can access.</w:t>
            </w:r>
          </w:p>
        </w:tc>
        <w:tc>
          <w:tcPr>
            <w:tcW w:w="4676" w:type="dxa"/>
          </w:tcPr>
          <w:p w14:paraId="09348B00" w14:textId="2964AEDD" w:rsidR="00C20B1E" w:rsidRPr="002F5E35" w:rsidRDefault="001A2314" w:rsidP="00F3305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A2314">
              <w:rPr>
                <w:rFonts w:ascii="Arial" w:hAnsi="Arial" w:cs="Arial"/>
                <w:sz w:val="22"/>
                <w:szCs w:val="22"/>
              </w:rPr>
              <w:t>Review whether all departments use the same system; merge duplicate lists; ensure GDPR compliance.</w:t>
            </w:r>
          </w:p>
        </w:tc>
        <w:tc>
          <w:tcPr>
            <w:tcW w:w="4677" w:type="dxa"/>
          </w:tcPr>
          <w:p w14:paraId="2A1F9B08" w14:textId="77777777" w:rsidR="00C20B1E" w:rsidRPr="002F5E35" w:rsidRDefault="00C20B1E" w:rsidP="00F3305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0B1E" w:rsidRPr="002F5E35" w14:paraId="41A74968" w14:textId="198B4CEA" w:rsidTr="00C20B1E">
        <w:trPr>
          <w:cantSplit/>
        </w:trPr>
        <w:tc>
          <w:tcPr>
            <w:tcW w:w="4676" w:type="dxa"/>
          </w:tcPr>
          <w:p w14:paraId="11148D5D" w14:textId="5ED86B14" w:rsidR="00C20B1E" w:rsidRPr="00CB39F3" w:rsidRDefault="001A2314" w:rsidP="00F3305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A2314">
              <w:rPr>
                <w:rFonts w:ascii="Arial" w:hAnsi="Arial" w:cs="Arial"/>
                <w:sz w:val="22"/>
                <w:szCs w:val="22"/>
              </w:rPr>
              <w:t xml:space="preserve">Enquiries are categorised clearly (e.g. </w:t>
            </w:r>
            <w:r>
              <w:rPr>
                <w:rFonts w:ascii="Arial" w:hAnsi="Arial" w:cs="Arial"/>
                <w:sz w:val="22"/>
                <w:szCs w:val="22"/>
              </w:rPr>
              <w:t xml:space="preserve"> general enquiry, </w:t>
            </w:r>
            <w:r w:rsidRPr="001A2314">
              <w:rPr>
                <w:rFonts w:ascii="Arial" w:hAnsi="Arial" w:cs="Arial"/>
                <w:sz w:val="22"/>
                <w:szCs w:val="22"/>
              </w:rPr>
              <w:t>industry placement, work taster, skills project, simulated activity, apprenticeship, other).</w:t>
            </w:r>
          </w:p>
        </w:tc>
        <w:tc>
          <w:tcPr>
            <w:tcW w:w="4676" w:type="dxa"/>
          </w:tcPr>
          <w:p w14:paraId="31205D47" w14:textId="30F9BCD9" w:rsidR="00C20B1E" w:rsidRPr="002F5E35" w:rsidRDefault="001A2314" w:rsidP="00F3305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A2314">
              <w:rPr>
                <w:rFonts w:ascii="Arial" w:hAnsi="Arial" w:cs="Arial"/>
                <w:sz w:val="22"/>
                <w:szCs w:val="22"/>
              </w:rPr>
              <w:t>Create agreed drop-down categories and guidance so entries are consistent.</w:t>
            </w:r>
          </w:p>
        </w:tc>
        <w:tc>
          <w:tcPr>
            <w:tcW w:w="4677" w:type="dxa"/>
          </w:tcPr>
          <w:p w14:paraId="101259AB" w14:textId="77777777" w:rsidR="00C20B1E" w:rsidRPr="002F5E35" w:rsidRDefault="00C20B1E" w:rsidP="00F3305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0B1E" w:rsidRPr="002F5E35" w14:paraId="782CE63B" w14:textId="77777777" w:rsidTr="00C20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676" w:type="dxa"/>
          </w:tcPr>
          <w:p w14:paraId="35FFF6FF" w14:textId="393FC043" w:rsidR="00C20B1E" w:rsidRPr="00CB39F3" w:rsidRDefault="005A2DFA" w:rsidP="00F3305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A2DFA">
              <w:rPr>
                <w:rFonts w:ascii="Arial" w:hAnsi="Arial" w:cs="Arial"/>
                <w:sz w:val="22"/>
                <w:szCs w:val="22"/>
              </w:rPr>
              <w:t>Each entry shows date, contact details, sector, enquiry type, stage (awareness → loyalty) and next action.</w:t>
            </w:r>
          </w:p>
        </w:tc>
        <w:tc>
          <w:tcPr>
            <w:tcW w:w="4676" w:type="dxa"/>
          </w:tcPr>
          <w:p w14:paraId="77186D37" w14:textId="1121AA3F" w:rsidR="00C20B1E" w:rsidRPr="002F5E35" w:rsidRDefault="005A2DFA" w:rsidP="00F3305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A2DFA">
              <w:rPr>
                <w:rFonts w:ascii="Arial" w:hAnsi="Arial" w:cs="Arial"/>
                <w:sz w:val="22"/>
                <w:szCs w:val="22"/>
              </w:rPr>
              <w:t>Add a “status” column to track progress; colour-code for easy review.</w:t>
            </w:r>
          </w:p>
        </w:tc>
        <w:tc>
          <w:tcPr>
            <w:tcW w:w="4677" w:type="dxa"/>
          </w:tcPr>
          <w:p w14:paraId="7F22E15F" w14:textId="77777777" w:rsidR="00C20B1E" w:rsidRPr="002F5E35" w:rsidRDefault="00C20B1E" w:rsidP="00F3305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DFA" w:rsidRPr="002F5E35" w14:paraId="107610BE" w14:textId="77777777" w:rsidTr="00C20B1E">
        <w:trPr>
          <w:cantSplit/>
        </w:trPr>
        <w:tc>
          <w:tcPr>
            <w:tcW w:w="4676" w:type="dxa"/>
          </w:tcPr>
          <w:p w14:paraId="27DF1D52" w14:textId="0FE03932" w:rsidR="005A2DFA" w:rsidRPr="005A2DFA" w:rsidRDefault="0041495E" w:rsidP="00F3305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1495E">
              <w:rPr>
                <w:rFonts w:ascii="Arial" w:hAnsi="Arial" w:cs="Arial"/>
                <w:sz w:val="22"/>
                <w:szCs w:val="22"/>
              </w:rPr>
              <w:t>The system allows reports on volume, conversion rate and employer satisfaction.</w:t>
            </w:r>
          </w:p>
        </w:tc>
        <w:tc>
          <w:tcPr>
            <w:tcW w:w="4676" w:type="dxa"/>
          </w:tcPr>
          <w:p w14:paraId="3574927B" w14:textId="1098F62E" w:rsidR="005A2DFA" w:rsidRPr="005A2DFA" w:rsidRDefault="0041495E" w:rsidP="00F3305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1495E">
              <w:rPr>
                <w:rFonts w:ascii="Arial" w:hAnsi="Arial" w:cs="Arial"/>
                <w:sz w:val="22"/>
                <w:szCs w:val="22"/>
              </w:rPr>
              <w:t>Build a simple dashboard or termly report for review meetings.</w:t>
            </w:r>
          </w:p>
        </w:tc>
        <w:tc>
          <w:tcPr>
            <w:tcW w:w="4677" w:type="dxa"/>
          </w:tcPr>
          <w:p w14:paraId="5424524C" w14:textId="77777777" w:rsidR="005A2DFA" w:rsidRPr="002F5E35" w:rsidRDefault="005A2DFA" w:rsidP="00F3305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DFA" w:rsidRPr="002F5E35" w14:paraId="3377FA57" w14:textId="77777777" w:rsidTr="00C20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676" w:type="dxa"/>
          </w:tcPr>
          <w:p w14:paraId="1C6D086A" w14:textId="7E935819" w:rsidR="005A2DFA" w:rsidRPr="005A2DFA" w:rsidRDefault="0041495E" w:rsidP="00F3305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1495E">
              <w:rPr>
                <w:rFonts w:ascii="Arial" w:hAnsi="Arial" w:cs="Arial"/>
                <w:sz w:val="22"/>
                <w:szCs w:val="22"/>
              </w:rPr>
              <w:t>Records are used to identify and prevent duplicate contact with the same employer.</w:t>
            </w:r>
          </w:p>
        </w:tc>
        <w:tc>
          <w:tcPr>
            <w:tcW w:w="4676" w:type="dxa"/>
          </w:tcPr>
          <w:p w14:paraId="1DE8979D" w14:textId="00CE20CB" w:rsidR="005A2DFA" w:rsidRPr="005A2DFA" w:rsidRDefault="0041495E" w:rsidP="0041495E">
            <w:pPr>
              <w:tabs>
                <w:tab w:val="left" w:pos="111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1495E">
              <w:rPr>
                <w:rFonts w:ascii="Arial" w:hAnsi="Arial" w:cs="Arial"/>
                <w:sz w:val="22"/>
                <w:szCs w:val="22"/>
              </w:rPr>
              <w:t>Hold monthly cross-team check-ins to share the log and align follow-ups.</w:t>
            </w:r>
          </w:p>
        </w:tc>
        <w:tc>
          <w:tcPr>
            <w:tcW w:w="4677" w:type="dxa"/>
          </w:tcPr>
          <w:p w14:paraId="7F0D11FC" w14:textId="77777777" w:rsidR="005A2DFA" w:rsidRPr="002F5E35" w:rsidRDefault="005A2DFA" w:rsidP="00F3305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95E" w:rsidRPr="002F5E35" w14:paraId="342963E8" w14:textId="77777777" w:rsidTr="00C20B1E">
        <w:trPr>
          <w:cantSplit/>
        </w:trPr>
        <w:tc>
          <w:tcPr>
            <w:tcW w:w="4676" w:type="dxa"/>
          </w:tcPr>
          <w:p w14:paraId="2A48B59E" w14:textId="77777777" w:rsidR="0041495E" w:rsidRPr="0041495E" w:rsidRDefault="0041495E" w:rsidP="00F3305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6" w:type="dxa"/>
          </w:tcPr>
          <w:p w14:paraId="426C3FEC" w14:textId="77777777" w:rsidR="0041495E" w:rsidRPr="0041495E" w:rsidRDefault="0041495E" w:rsidP="0041495E">
            <w:pPr>
              <w:tabs>
                <w:tab w:val="left" w:pos="111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7" w:type="dxa"/>
          </w:tcPr>
          <w:p w14:paraId="4DDD0C30" w14:textId="77777777" w:rsidR="0041495E" w:rsidRPr="002F5E35" w:rsidRDefault="0041495E" w:rsidP="00F3305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95E" w:rsidRPr="002F5E35" w14:paraId="68C9550E" w14:textId="77777777" w:rsidTr="00C20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676" w:type="dxa"/>
          </w:tcPr>
          <w:p w14:paraId="32EA8649" w14:textId="77777777" w:rsidR="0041495E" w:rsidRPr="0041495E" w:rsidRDefault="0041495E" w:rsidP="00F3305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6" w:type="dxa"/>
          </w:tcPr>
          <w:p w14:paraId="6A2E718A" w14:textId="77777777" w:rsidR="0041495E" w:rsidRPr="0041495E" w:rsidRDefault="0041495E" w:rsidP="0041495E">
            <w:pPr>
              <w:tabs>
                <w:tab w:val="left" w:pos="111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7" w:type="dxa"/>
          </w:tcPr>
          <w:p w14:paraId="12C69EDE" w14:textId="77777777" w:rsidR="0041495E" w:rsidRPr="002F5E35" w:rsidRDefault="0041495E" w:rsidP="00F3305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33ADCD" w14:textId="2A8C9D4D" w:rsidR="00A97A1A" w:rsidRPr="004B696B" w:rsidRDefault="00A97A1A" w:rsidP="00F3305F">
      <w:pPr>
        <w:pStyle w:val="Heading1"/>
        <w:spacing w:before="120" w:after="120"/>
        <w:rPr>
          <w:rFonts w:ascii="Arial" w:hAnsi="Arial" w:cs="Arial"/>
          <w:color w:val="auto"/>
        </w:rPr>
        <w:sectPr w:rsidR="00A97A1A" w:rsidRPr="004B696B" w:rsidSect="00381DF6">
          <w:pgSz w:w="16838" w:h="11906" w:orient="landscape"/>
          <w:pgMar w:top="1762" w:right="1440" w:bottom="1440" w:left="1440" w:header="708" w:footer="708" w:gutter="0"/>
          <w:cols w:space="708"/>
          <w:docGrid w:linePitch="360"/>
        </w:sectPr>
      </w:pPr>
    </w:p>
    <w:p w14:paraId="7F413EAD" w14:textId="11491CCE" w:rsidR="0050503B" w:rsidRDefault="0050503B" w:rsidP="00F3305F">
      <w:pPr>
        <w:pStyle w:val="Heading1"/>
        <w:spacing w:before="120" w:after="120"/>
        <w:rPr>
          <w:rFonts w:ascii="Arial" w:hAnsi="Arial" w:cs="Arial"/>
          <w:b/>
          <w:bCs/>
          <w:i/>
          <w:iCs/>
          <w:color w:val="FC4421"/>
          <w:sz w:val="28"/>
          <w:szCs w:val="28"/>
        </w:rPr>
      </w:pPr>
      <w:r w:rsidRPr="00801D8E">
        <w:rPr>
          <w:rFonts w:ascii="Arial" w:hAnsi="Arial" w:cs="Arial"/>
          <w:b/>
          <w:bCs/>
          <w:i/>
          <w:iCs/>
          <w:color w:val="FC4421"/>
          <w:sz w:val="28"/>
          <w:szCs w:val="28"/>
        </w:rPr>
        <w:lastRenderedPageBreak/>
        <w:t>Section 2: Responding to employer enquiries</w:t>
      </w:r>
      <w:r w:rsidR="00043834">
        <w:rPr>
          <w:rFonts w:ascii="Arial" w:hAnsi="Arial" w:cs="Arial"/>
          <w:b/>
          <w:bCs/>
          <w:i/>
          <w:iCs/>
          <w:color w:val="FC4421"/>
          <w:sz w:val="28"/>
          <w:szCs w:val="28"/>
        </w:rPr>
        <w:t>.</w:t>
      </w:r>
    </w:p>
    <w:p w14:paraId="36C317F0" w14:textId="154E3B44" w:rsidR="002F5E35" w:rsidRDefault="00C97AA3" w:rsidP="00F3305F">
      <w:pPr>
        <w:spacing w:before="120" w:after="120"/>
        <w:rPr>
          <w:rFonts w:ascii="Arial" w:hAnsi="Arial" w:cs="Arial"/>
        </w:rPr>
      </w:pPr>
      <w:r w:rsidRPr="00C97AA3">
        <w:rPr>
          <w:rFonts w:ascii="Arial" w:hAnsi="Arial" w:cs="Arial"/>
        </w:rPr>
        <w:t>How you ensure every employer receives a prompt, professional and student-centred response.</w:t>
      </w:r>
    </w:p>
    <w:tbl>
      <w:tblPr>
        <w:tblStyle w:val="PlainTable1"/>
        <w:tblW w:w="14029" w:type="dxa"/>
        <w:tblBorders>
          <w:top w:val="single" w:sz="4" w:space="0" w:color="FC4421"/>
          <w:left w:val="single" w:sz="4" w:space="0" w:color="FC4421"/>
          <w:bottom w:val="single" w:sz="4" w:space="0" w:color="FC4421"/>
          <w:right w:val="single" w:sz="4" w:space="0" w:color="FC4421"/>
          <w:insideH w:val="single" w:sz="4" w:space="0" w:color="FC4421"/>
          <w:insideV w:val="single" w:sz="4" w:space="0" w:color="FC4421"/>
        </w:tblBorders>
        <w:tblLayout w:type="fixed"/>
        <w:tblLook w:val="0420" w:firstRow="1" w:lastRow="0" w:firstColumn="0" w:lastColumn="0" w:noHBand="0" w:noVBand="1"/>
      </w:tblPr>
      <w:tblGrid>
        <w:gridCol w:w="4676"/>
        <w:gridCol w:w="4676"/>
        <w:gridCol w:w="4677"/>
      </w:tblGrid>
      <w:tr w:rsidR="000D0F59" w:rsidRPr="00F36BDF" w14:paraId="392E0090" w14:textId="77777777" w:rsidTr="001452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4676" w:type="dxa"/>
            <w:shd w:val="clear" w:color="auto" w:fill="FC4421"/>
          </w:tcPr>
          <w:p w14:paraId="435285FB" w14:textId="77777777" w:rsidR="000D0F59" w:rsidRPr="00F36BDF" w:rsidRDefault="000D0F59" w:rsidP="0014521C">
            <w:pPr>
              <w:spacing w:before="120" w:after="120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Good practice s</w:t>
            </w:r>
            <w:r w:rsidRPr="00F36BDF">
              <w:rPr>
                <w:rFonts w:ascii="Arial" w:hAnsi="Arial" w:cs="Arial"/>
                <w:color w:val="FFFFFF" w:themeColor="background1"/>
              </w:rPr>
              <w:t>tatement</w:t>
            </w:r>
          </w:p>
        </w:tc>
        <w:tc>
          <w:tcPr>
            <w:tcW w:w="4676" w:type="dxa"/>
            <w:shd w:val="clear" w:color="auto" w:fill="FC4421"/>
          </w:tcPr>
          <w:p w14:paraId="4FEAD50F" w14:textId="77777777" w:rsidR="000D0F59" w:rsidRPr="00F36BDF" w:rsidRDefault="000D0F59" w:rsidP="0014521C">
            <w:pPr>
              <w:spacing w:before="120" w:after="120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Suggested improvement ideas</w:t>
            </w:r>
          </w:p>
        </w:tc>
        <w:tc>
          <w:tcPr>
            <w:tcW w:w="4677" w:type="dxa"/>
            <w:shd w:val="clear" w:color="auto" w:fill="FC4421"/>
          </w:tcPr>
          <w:p w14:paraId="7EFC8958" w14:textId="77777777" w:rsidR="000D0F59" w:rsidRPr="00F36BDF" w:rsidRDefault="000D0F59" w:rsidP="0014521C">
            <w:pPr>
              <w:spacing w:before="120" w:after="120"/>
              <w:rPr>
                <w:rFonts w:ascii="Arial" w:hAnsi="Arial" w:cs="Arial"/>
                <w:color w:val="FFFFFF" w:themeColor="background1"/>
              </w:rPr>
            </w:pPr>
            <w:r w:rsidRPr="00F36BDF">
              <w:rPr>
                <w:rFonts w:ascii="Arial" w:hAnsi="Arial" w:cs="Arial"/>
                <w:color w:val="FFFFFF" w:themeColor="background1"/>
              </w:rPr>
              <w:t>Action</w:t>
            </w:r>
            <w:r>
              <w:rPr>
                <w:rFonts w:ascii="Arial" w:hAnsi="Arial" w:cs="Arial"/>
                <w:color w:val="FFFFFF" w:themeColor="background1"/>
              </w:rPr>
              <w:t xml:space="preserve"> / owner</w:t>
            </w:r>
          </w:p>
        </w:tc>
      </w:tr>
      <w:tr w:rsidR="000D0F59" w:rsidRPr="002F5E35" w14:paraId="1ACA5BEA" w14:textId="77777777" w:rsidTr="0014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676" w:type="dxa"/>
          </w:tcPr>
          <w:p w14:paraId="34D85713" w14:textId="5910D249" w:rsidR="000D0F59" w:rsidRPr="00CB39F3" w:rsidRDefault="00694E54" w:rsidP="0014521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94E54">
              <w:rPr>
                <w:rFonts w:ascii="Arial" w:hAnsi="Arial" w:cs="Arial"/>
                <w:sz w:val="22"/>
                <w:szCs w:val="22"/>
              </w:rPr>
              <w:t>All phone calls and emails are acknowledged within one working day.</w:t>
            </w:r>
          </w:p>
        </w:tc>
        <w:tc>
          <w:tcPr>
            <w:tcW w:w="4676" w:type="dxa"/>
          </w:tcPr>
          <w:p w14:paraId="6A9147AB" w14:textId="6D1C4D35" w:rsidR="000D0F59" w:rsidRPr="002F5E35" w:rsidRDefault="00694E54" w:rsidP="0014521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94E54">
              <w:rPr>
                <w:rFonts w:ascii="Arial" w:hAnsi="Arial" w:cs="Arial"/>
                <w:sz w:val="22"/>
                <w:szCs w:val="22"/>
              </w:rPr>
              <w:t>Create shared inbox monitoring rota and voicemail protocol.</w:t>
            </w:r>
          </w:p>
        </w:tc>
        <w:tc>
          <w:tcPr>
            <w:tcW w:w="4677" w:type="dxa"/>
          </w:tcPr>
          <w:p w14:paraId="62776E2B" w14:textId="77777777" w:rsidR="000D0F59" w:rsidRPr="002F5E35" w:rsidRDefault="000D0F59" w:rsidP="0014521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59" w:rsidRPr="002F5E35" w14:paraId="7D533349" w14:textId="77777777" w:rsidTr="0014521C">
        <w:trPr>
          <w:cantSplit/>
        </w:trPr>
        <w:tc>
          <w:tcPr>
            <w:tcW w:w="4676" w:type="dxa"/>
          </w:tcPr>
          <w:p w14:paraId="6034CFE3" w14:textId="44A34940" w:rsidR="000D0F59" w:rsidRPr="00CB39F3" w:rsidRDefault="00694E54" w:rsidP="0014521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94E54">
              <w:rPr>
                <w:rFonts w:ascii="Arial" w:hAnsi="Arial" w:cs="Arial"/>
                <w:sz w:val="22"/>
                <w:szCs w:val="22"/>
              </w:rPr>
              <w:t>We tailor our communication to the employer’s level of understanding and interest.</w:t>
            </w:r>
          </w:p>
        </w:tc>
        <w:tc>
          <w:tcPr>
            <w:tcW w:w="4676" w:type="dxa"/>
          </w:tcPr>
          <w:p w14:paraId="651813ED" w14:textId="060FFBF1" w:rsidR="000D0F59" w:rsidRPr="002F5E35" w:rsidRDefault="00FB2A9E" w:rsidP="0014521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r w:rsidRPr="00E8488B">
                <w:rPr>
                  <w:rStyle w:val="Hyperlink"/>
                  <w:rFonts w:ascii="Arial" w:hAnsi="Arial" w:cs="Arial"/>
                  <w:sz w:val="22"/>
                  <w:szCs w:val="22"/>
                </w:rPr>
                <w:t>Send effective outreach emails to employers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and </w:t>
            </w:r>
            <w:hyperlink r:id="rId15" w:history="1">
              <w:r w:rsidRPr="00E8488B">
                <w:rPr>
                  <w:rStyle w:val="Hyperlink"/>
                  <w:rFonts w:ascii="Arial" w:hAnsi="Arial" w:cs="Arial"/>
                  <w:sz w:val="22"/>
                  <w:szCs w:val="22"/>
                </w:rPr>
                <w:t>deliver a strong telephone pitch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4677" w:type="dxa"/>
          </w:tcPr>
          <w:p w14:paraId="67C14A7B" w14:textId="77777777" w:rsidR="000D0F59" w:rsidRPr="002F5E35" w:rsidRDefault="000D0F59" w:rsidP="0014521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59" w:rsidRPr="002F5E35" w14:paraId="00E1A809" w14:textId="77777777" w:rsidTr="0014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676" w:type="dxa"/>
          </w:tcPr>
          <w:p w14:paraId="7BE37938" w14:textId="4754E663" w:rsidR="000D0F59" w:rsidRPr="00CB39F3" w:rsidRDefault="00517E44" w:rsidP="0014521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17E44">
              <w:rPr>
                <w:rFonts w:ascii="Arial" w:hAnsi="Arial" w:cs="Arial"/>
                <w:sz w:val="22"/>
                <w:szCs w:val="22"/>
              </w:rPr>
              <w:t>Our website and promotional materials reflect the same key messages we use in calls, emails and events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76" w:type="dxa"/>
          </w:tcPr>
          <w:p w14:paraId="60AE435E" w14:textId="00C14B49" w:rsidR="000D0F59" w:rsidRPr="002F5E35" w:rsidRDefault="00FA0421" w:rsidP="0014521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Make sure the employer page of your website is </w:t>
            </w:r>
            <w:hyperlink r:id="rId16" w:history="1">
              <w:r w:rsidRPr="007039E3">
                <w:rPr>
                  <w:rStyle w:val="Hyperlink"/>
                  <w:rFonts w:ascii="Arial" w:hAnsi="Arial" w:cs="Arial"/>
                  <w:sz w:val="22"/>
                  <w:szCs w:val="22"/>
                </w:rPr>
                <w:t>effectively promoting your T Level offer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4677" w:type="dxa"/>
          </w:tcPr>
          <w:p w14:paraId="185B47E4" w14:textId="77777777" w:rsidR="000D0F59" w:rsidRPr="002F5E35" w:rsidRDefault="000D0F59" w:rsidP="0014521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59" w:rsidRPr="002F5E35" w14:paraId="557A4830" w14:textId="77777777" w:rsidTr="0014521C">
        <w:trPr>
          <w:cantSplit/>
        </w:trPr>
        <w:tc>
          <w:tcPr>
            <w:tcW w:w="4676" w:type="dxa"/>
          </w:tcPr>
          <w:p w14:paraId="6BF80934" w14:textId="63FE4D80" w:rsidR="000D0F59" w:rsidRPr="005A2DFA" w:rsidRDefault="00665544" w:rsidP="0014521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65544">
              <w:rPr>
                <w:rFonts w:ascii="Arial" w:hAnsi="Arial" w:cs="Arial"/>
                <w:sz w:val="22"/>
                <w:szCs w:val="22"/>
              </w:rPr>
              <w:t>We provide concise information on the range of ways to get involved (tasters, skills projects, simulated activity, placements).</w:t>
            </w:r>
          </w:p>
        </w:tc>
        <w:tc>
          <w:tcPr>
            <w:tcW w:w="4676" w:type="dxa"/>
          </w:tcPr>
          <w:p w14:paraId="258608FA" w14:textId="1CE8291C" w:rsidR="000D0F59" w:rsidRPr="005A2DFA" w:rsidRDefault="00153C5B" w:rsidP="0014521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53C5B">
              <w:rPr>
                <w:rFonts w:ascii="Arial" w:hAnsi="Arial" w:cs="Arial"/>
                <w:sz w:val="22"/>
                <w:szCs w:val="22"/>
              </w:rPr>
              <w:t>Encourage employers to meet students to build confidence, rather than leading with a hard sell on full placements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77" w:type="dxa"/>
          </w:tcPr>
          <w:p w14:paraId="22133238" w14:textId="77777777" w:rsidR="000D0F59" w:rsidRPr="002F5E35" w:rsidRDefault="000D0F59" w:rsidP="0014521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59" w:rsidRPr="002F5E35" w14:paraId="20470B83" w14:textId="77777777" w:rsidTr="0014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676" w:type="dxa"/>
          </w:tcPr>
          <w:p w14:paraId="4F303BF8" w14:textId="64417299" w:rsidR="000D0F59" w:rsidRPr="005A2DFA" w:rsidRDefault="00BC2FB6" w:rsidP="0014521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2FB6">
              <w:rPr>
                <w:rFonts w:ascii="Arial" w:hAnsi="Arial" w:cs="Arial"/>
                <w:sz w:val="22"/>
                <w:szCs w:val="22"/>
              </w:rPr>
              <w:t>If we can’t answer immediately, we know who to refer to and explain the next step to the employer.</w:t>
            </w:r>
          </w:p>
        </w:tc>
        <w:tc>
          <w:tcPr>
            <w:tcW w:w="4676" w:type="dxa"/>
          </w:tcPr>
          <w:p w14:paraId="08796D77" w14:textId="3ED4926D" w:rsidR="000D0F59" w:rsidRPr="005A2DFA" w:rsidRDefault="00BC2FB6" w:rsidP="0014521C">
            <w:pPr>
              <w:tabs>
                <w:tab w:val="left" w:pos="111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C2FB6">
              <w:rPr>
                <w:rFonts w:ascii="Arial" w:hAnsi="Arial" w:cs="Arial"/>
                <w:sz w:val="22"/>
                <w:szCs w:val="22"/>
              </w:rPr>
              <w:t>Map referral routes and create an internal contact directory.</w:t>
            </w:r>
          </w:p>
        </w:tc>
        <w:tc>
          <w:tcPr>
            <w:tcW w:w="4677" w:type="dxa"/>
          </w:tcPr>
          <w:p w14:paraId="356935F0" w14:textId="77777777" w:rsidR="000D0F59" w:rsidRPr="002F5E35" w:rsidRDefault="000D0F59" w:rsidP="0014521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59" w:rsidRPr="002F5E35" w14:paraId="5D660CA0" w14:textId="77777777" w:rsidTr="0014521C">
        <w:trPr>
          <w:cantSplit/>
        </w:trPr>
        <w:tc>
          <w:tcPr>
            <w:tcW w:w="4676" w:type="dxa"/>
          </w:tcPr>
          <w:p w14:paraId="60915377" w14:textId="77777777" w:rsidR="000D0F59" w:rsidRDefault="000D0F59" w:rsidP="0014521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423BE2E2" w14:textId="77777777" w:rsidR="000D0F59" w:rsidRPr="0041495E" w:rsidRDefault="000D0F59" w:rsidP="0014521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6" w:type="dxa"/>
          </w:tcPr>
          <w:p w14:paraId="0E7BCC19" w14:textId="77777777" w:rsidR="000D0F59" w:rsidRPr="0041495E" w:rsidRDefault="000D0F59" w:rsidP="0014521C">
            <w:pPr>
              <w:tabs>
                <w:tab w:val="left" w:pos="111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7" w:type="dxa"/>
          </w:tcPr>
          <w:p w14:paraId="3E51A64F" w14:textId="77777777" w:rsidR="000D0F59" w:rsidRPr="002F5E35" w:rsidRDefault="000D0F59" w:rsidP="0014521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F59" w:rsidRPr="002F5E35" w14:paraId="729B152C" w14:textId="77777777" w:rsidTr="0014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676" w:type="dxa"/>
          </w:tcPr>
          <w:p w14:paraId="2EFF2D7E" w14:textId="77777777" w:rsidR="000D0F59" w:rsidRDefault="000D0F59" w:rsidP="0014521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0E810CAC" w14:textId="77777777" w:rsidR="000D0F59" w:rsidRPr="0041495E" w:rsidRDefault="000D0F59" w:rsidP="0014521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6" w:type="dxa"/>
          </w:tcPr>
          <w:p w14:paraId="07CFEA6B" w14:textId="77777777" w:rsidR="000D0F59" w:rsidRPr="0041495E" w:rsidRDefault="000D0F59" w:rsidP="0014521C">
            <w:pPr>
              <w:tabs>
                <w:tab w:val="left" w:pos="111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7" w:type="dxa"/>
          </w:tcPr>
          <w:p w14:paraId="4E60CCBC" w14:textId="77777777" w:rsidR="000D0F59" w:rsidRPr="002F5E35" w:rsidRDefault="000D0F59" w:rsidP="0014521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4A2AA4" w14:textId="77777777" w:rsidR="000D0F59" w:rsidRDefault="000D0F59" w:rsidP="00F3305F">
      <w:pPr>
        <w:spacing w:before="120" w:after="120"/>
        <w:rPr>
          <w:rFonts w:ascii="Arial" w:hAnsi="Arial" w:cs="Arial"/>
        </w:rPr>
      </w:pPr>
    </w:p>
    <w:p w14:paraId="448C5DD2" w14:textId="77777777" w:rsidR="000D0F59" w:rsidRDefault="000D0F59" w:rsidP="00F3305F">
      <w:pPr>
        <w:spacing w:before="120" w:after="120"/>
        <w:rPr>
          <w:rFonts w:ascii="Arial" w:hAnsi="Arial" w:cs="Arial"/>
        </w:rPr>
      </w:pPr>
    </w:p>
    <w:p w14:paraId="1A303344" w14:textId="77777777" w:rsidR="00884B44" w:rsidRPr="004B696B" w:rsidRDefault="00884B44" w:rsidP="00F3305F">
      <w:pPr>
        <w:pStyle w:val="Heading1"/>
        <w:spacing w:before="120" w:after="120"/>
        <w:rPr>
          <w:rFonts w:ascii="Arial" w:hAnsi="Arial" w:cs="Arial"/>
          <w:color w:val="auto"/>
        </w:rPr>
        <w:sectPr w:rsidR="00884B44" w:rsidRPr="004B696B" w:rsidSect="00381DF6">
          <w:pgSz w:w="16838" w:h="11906" w:orient="landscape"/>
          <w:pgMar w:top="1818" w:right="1440" w:bottom="1276" w:left="1440" w:header="708" w:footer="708" w:gutter="0"/>
          <w:cols w:space="708"/>
          <w:docGrid w:linePitch="360"/>
        </w:sectPr>
      </w:pPr>
    </w:p>
    <w:p w14:paraId="6061DCC6" w14:textId="603629B0" w:rsidR="0050503B" w:rsidRPr="00801D8E" w:rsidRDefault="0050503B" w:rsidP="00F3305F">
      <w:pPr>
        <w:pStyle w:val="Heading1"/>
        <w:spacing w:before="120" w:after="120"/>
        <w:rPr>
          <w:rFonts w:ascii="Arial" w:hAnsi="Arial" w:cs="Arial"/>
          <w:b/>
          <w:bCs/>
          <w:i/>
          <w:iCs/>
          <w:color w:val="FC4421"/>
          <w:sz w:val="28"/>
          <w:szCs w:val="28"/>
        </w:rPr>
      </w:pPr>
      <w:r w:rsidRPr="00801D8E">
        <w:rPr>
          <w:rFonts w:ascii="Arial" w:hAnsi="Arial" w:cs="Arial"/>
          <w:b/>
          <w:bCs/>
          <w:i/>
          <w:iCs/>
          <w:color w:val="FC4421"/>
          <w:sz w:val="28"/>
          <w:szCs w:val="28"/>
        </w:rPr>
        <w:lastRenderedPageBreak/>
        <w:t>Section 3: Providing information and guidance to employers</w:t>
      </w:r>
      <w:r w:rsidR="00043834">
        <w:rPr>
          <w:rFonts w:ascii="Arial" w:hAnsi="Arial" w:cs="Arial"/>
          <w:b/>
          <w:bCs/>
          <w:i/>
          <w:iCs/>
          <w:color w:val="FC4421"/>
          <w:sz w:val="28"/>
          <w:szCs w:val="28"/>
        </w:rPr>
        <w:t>.</w:t>
      </w:r>
    </w:p>
    <w:p w14:paraId="02403C8D" w14:textId="595D3421" w:rsidR="00EE156C" w:rsidRDefault="00BC2FB6" w:rsidP="00F3305F">
      <w:pPr>
        <w:spacing w:before="120" w:after="120"/>
        <w:rPr>
          <w:rFonts w:ascii="Arial" w:hAnsi="Arial" w:cs="Arial"/>
        </w:rPr>
      </w:pPr>
      <w:r w:rsidRPr="00BC2FB6">
        <w:rPr>
          <w:rFonts w:ascii="Arial" w:hAnsi="Arial" w:cs="Arial"/>
        </w:rPr>
        <w:t>Ensuring employers receive relevant, motivating information that builds confidence to take part.</w:t>
      </w:r>
    </w:p>
    <w:tbl>
      <w:tblPr>
        <w:tblStyle w:val="PlainTable1"/>
        <w:tblW w:w="14029" w:type="dxa"/>
        <w:tblBorders>
          <w:top w:val="single" w:sz="4" w:space="0" w:color="FC4421"/>
          <w:left w:val="single" w:sz="4" w:space="0" w:color="FC4421"/>
          <w:bottom w:val="single" w:sz="4" w:space="0" w:color="FC4421"/>
          <w:right w:val="single" w:sz="4" w:space="0" w:color="FC4421"/>
          <w:insideH w:val="single" w:sz="4" w:space="0" w:color="FC4421"/>
          <w:insideV w:val="single" w:sz="4" w:space="0" w:color="FC4421"/>
        </w:tblBorders>
        <w:tblLayout w:type="fixed"/>
        <w:tblLook w:val="0420" w:firstRow="1" w:lastRow="0" w:firstColumn="0" w:lastColumn="0" w:noHBand="0" w:noVBand="1"/>
      </w:tblPr>
      <w:tblGrid>
        <w:gridCol w:w="4676"/>
        <w:gridCol w:w="4676"/>
        <w:gridCol w:w="4677"/>
      </w:tblGrid>
      <w:tr w:rsidR="00BC2FB6" w:rsidRPr="00F36BDF" w14:paraId="4AEFC93C" w14:textId="77777777" w:rsidTr="001452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4676" w:type="dxa"/>
            <w:shd w:val="clear" w:color="auto" w:fill="FC4421"/>
          </w:tcPr>
          <w:p w14:paraId="09F4AE9D" w14:textId="77777777" w:rsidR="00BC2FB6" w:rsidRPr="00F36BDF" w:rsidRDefault="00BC2FB6" w:rsidP="0014521C">
            <w:pPr>
              <w:spacing w:before="120" w:after="120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Good practice s</w:t>
            </w:r>
            <w:r w:rsidRPr="00F36BDF">
              <w:rPr>
                <w:rFonts w:ascii="Arial" w:hAnsi="Arial" w:cs="Arial"/>
                <w:color w:val="FFFFFF" w:themeColor="background1"/>
              </w:rPr>
              <w:t>tatement</w:t>
            </w:r>
          </w:p>
        </w:tc>
        <w:tc>
          <w:tcPr>
            <w:tcW w:w="4676" w:type="dxa"/>
            <w:shd w:val="clear" w:color="auto" w:fill="FC4421"/>
          </w:tcPr>
          <w:p w14:paraId="0ADB7C81" w14:textId="77777777" w:rsidR="00BC2FB6" w:rsidRPr="00F36BDF" w:rsidRDefault="00BC2FB6" w:rsidP="0014521C">
            <w:pPr>
              <w:spacing w:before="120" w:after="120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Suggested improvement ideas</w:t>
            </w:r>
          </w:p>
        </w:tc>
        <w:tc>
          <w:tcPr>
            <w:tcW w:w="4677" w:type="dxa"/>
            <w:shd w:val="clear" w:color="auto" w:fill="FC4421"/>
          </w:tcPr>
          <w:p w14:paraId="21440E92" w14:textId="77777777" w:rsidR="00BC2FB6" w:rsidRPr="00F36BDF" w:rsidRDefault="00BC2FB6" w:rsidP="0014521C">
            <w:pPr>
              <w:spacing w:before="120" w:after="120"/>
              <w:rPr>
                <w:rFonts w:ascii="Arial" w:hAnsi="Arial" w:cs="Arial"/>
                <w:color w:val="FFFFFF" w:themeColor="background1"/>
              </w:rPr>
            </w:pPr>
            <w:r w:rsidRPr="00F36BDF">
              <w:rPr>
                <w:rFonts w:ascii="Arial" w:hAnsi="Arial" w:cs="Arial"/>
                <w:color w:val="FFFFFF" w:themeColor="background1"/>
              </w:rPr>
              <w:t>Action</w:t>
            </w:r>
            <w:r>
              <w:rPr>
                <w:rFonts w:ascii="Arial" w:hAnsi="Arial" w:cs="Arial"/>
                <w:color w:val="FFFFFF" w:themeColor="background1"/>
              </w:rPr>
              <w:t xml:space="preserve"> / owner</w:t>
            </w:r>
          </w:p>
        </w:tc>
      </w:tr>
      <w:tr w:rsidR="00BC2FB6" w:rsidRPr="002F5E35" w14:paraId="4BB56D9F" w14:textId="77777777" w:rsidTr="0014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676" w:type="dxa"/>
          </w:tcPr>
          <w:p w14:paraId="6C07E699" w14:textId="74823FBF" w:rsidR="00BC2FB6" w:rsidRPr="00CB39F3" w:rsidRDefault="00461577" w:rsidP="0014521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61577">
              <w:rPr>
                <w:rFonts w:ascii="Arial" w:hAnsi="Arial" w:cs="Arial"/>
                <w:sz w:val="22"/>
                <w:szCs w:val="22"/>
              </w:rPr>
              <w:t>Information given is accurate, up to date and aligns with national T Level guidance.</w:t>
            </w:r>
          </w:p>
        </w:tc>
        <w:tc>
          <w:tcPr>
            <w:tcW w:w="4676" w:type="dxa"/>
          </w:tcPr>
          <w:p w14:paraId="062679B1" w14:textId="3C161ED7" w:rsidR="00BC2FB6" w:rsidRPr="002F5E35" w:rsidRDefault="00461577" w:rsidP="0014521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61577">
              <w:rPr>
                <w:rFonts w:ascii="Arial" w:hAnsi="Arial" w:cs="Arial"/>
                <w:sz w:val="22"/>
                <w:szCs w:val="22"/>
              </w:rPr>
              <w:t>Nominate a lead to review content termly against DfE updates.</w:t>
            </w:r>
          </w:p>
        </w:tc>
        <w:tc>
          <w:tcPr>
            <w:tcW w:w="4677" w:type="dxa"/>
          </w:tcPr>
          <w:p w14:paraId="0D172364" w14:textId="77777777" w:rsidR="00BC2FB6" w:rsidRPr="002F5E35" w:rsidRDefault="00BC2FB6" w:rsidP="0014521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2FB6" w:rsidRPr="002F5E35" w14:paraId="57B6AD74" w14:textId="77777777" w:rsidTr="0014521C">
        <w:trPr>
          <w:cantSplit/>
        </w:trPr>
        <w:tc>
          <w:tcPr>
            <w:tcW w:w="4676" w:type="dxa"/>
          </w:tcPr>
          <w:p w14:paraId="0A3B52BE" w14:textId="40FEC42F" w:rsidR="00BC2FB6" w:rsidRPr="00CB39F3" w:rsidRDefault="00461577" w:rsidP="0014521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61577">
              <w:rPr>
                <w:rFonts w:ascii="Arial" w:hAnsi="Arial" w:cs="Arial"/>
                <w:sz w:val="22"/>
                <w:szCs w:val="22"/>
              </w:rPr>
              <w:t>We adapt information to the employer’s sector, size and priorities.</w:t>
            </w:r>
          </w:p>
        </w:tc>
        <w:tc>
          <w:tcPr>
            <w:tcW w:w="4676" w:type="dxa"/>
          </w:tcPr>
          <w:p w14:paraId="20E1FEAB" w14:textId="676912C3" w:rsidR="00BC2FB6" w:rsidRPr="002F5E35" w:rsidRDefault="00A8551A" w:rsidP="0014521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8551A">
              <w:rPr>
                <w:rFonts w:ascii="Arial" w:hAnsi="Arial" w:cs="Arial"/>
                <w:sz w:val="22"/>
                <w:szCs w:val="22"/>
              </w:rPr>
              <w:t xml:space="preserve">We maintain a small library of </w:t>
            </w:r>
            <w:r w:rsidRPr="00A8551A">
              <w:rPr>
                <w:rFonts w:ascii="Arial" w:hAnsi="Arial" w:cs="Arial"/>
                <w:sz w:val="22"/>
                <w:szCs w:val="22"/>
                <w:highlight w:val="yellow"/>
              </w:rPr>
              <w:t>sector-specific examples and typical placement tasks</w:t>
            </w:r>
            <w:r w:rsidRPr="00A8551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77" w:type="dxa"/>
          </w:tcPr>
          <w:p w14:paraId="18F3B014" w14:textId="77777777" w:rsidR="00BC2FB6" w:rsidRPr="002F5E35" w:rsidRDefault="00BC2FB6" w:rsidP="0014521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2FB6" w:rsidRPr="002F5E35" w14:paraId="7281EB94" w14:textId="77777777" w:rsidTr="0014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676" w:type="dxa"/>
          </w:tcPr>
          <w:p w14:paraId="16293234" w14:textId="149BF4AB" w:rsidR="00BC2FB6" w:rsidRPr="00CB39F3" w:rsidRDefault="00EC7C1D" w:rsidP="0014521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C7C1D">
              <w:rPr>
                <w:rFonts w:ascii="Arial" w:hAnsi="Arial" w:cs="Arial"/>
                <w:sz w:val="22"/>
                <w:szCs w:val="22"/>
              </w:rPr>
              <w:t xml:space="preserve">We </w:t>
            </w:r>
            <w:r w:rsidR="008B4526">
              <w:rPr>
                <w:rFonts w:ascii="Arial" w:hAnsi="Arial" w:cs="Arial"/>
                <w:sz w:val="22"/>
                <w:szCs w:val="22"/>
              </w:rPr>
              <w:t xml:space="preserve">understand the </w:t>
            </w:r>
            <w:r w:rsidR="00C10B53">
              <w:rPr>
                <w:rFonts w:ascii="Arial" w:hAnsi="Arial" w:cs="Arial"/>
                <w:sz w:val="22"/>
                <w:szCs w:val="22"/>
              </w:rPr>
              <w:t>business solution(s) industry placements might provide to each individual employer</w:t>
            </w:r>
            <w:r w:rsidRPr="00EC7C1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76" w:type="dxa"/>
          </w:tcPr>
          <w:p w14:paraId="4577C06B" w14:textId="12482717" w:rsidR="00BC2FB6" w:rsidRPr="002F5E35" w:rsidRDefault="00A8551A" w:rsidP="0014521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8551A">
              <w:rPr>
                <w:rFonts w:ascii="Arial" w:hAnsi="Arial" w:cs="Arial"/>
                <w:sz w:val="22"/>
                <w:szCs w:val="22"/>
              </w:rPr>
              <w:t>Ask questions to understand what the employer hopes to achieve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A8551A">
              <w:rPr>
                <w:rFonts w:ascii="Arial" w:hAnsi="Arial" w:cs="Arial"/>
                <w:sz w:val="22"/>
                <w:szCs w:val="22"/>
              </w:rPr>
              <w:t xml:space="preserve"> recruitment, social value or another business priority</w:t>
            </w:r>
            <w:r w:rsidR="00482A0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77" w:type="dxa"/>
          </w:tcPr>
          <w:p w14:paraId="1E1DA64F" w14:textId="77777777" w:rsidR="00BC2FB6" w:rsidRPr="002F5E35" w:rsidRDefault="00BC2FB6" w:rsidP="0014521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2FB6" w:rsidRPr="002F5E35" w14:paraId="517314C4" w14:textId="77777777" w:rsidTr="0014521C">
        <w:trPr>
          <w:cantSplit/>
        </w:trPr>
        <w:tc>
          <w:tcPr>
            <w:tcW w:w="4676" w:type="dxa"/>
          </w:tcPr>
          <w:p w14:paraId="7D378685" w14:textId="48C3B0A7" w:rsidR="00BC2FB6" w:rsidRPr="005A2DFA" w:rsidRDefault="00C9620D" w:rsidP="0014521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9620D">
              <w:rPr>
                <w:rFonts w:ascii="Arial" w:hAnsi="Arial" w:cs="Arial"/>
                <w:sz w:val="22"/>
                <w:szCs w:val="22"/>
              </w:rPr>
              <w:t>Materials are engaging and easy to share – visuals, infographics, short videos.</w:t>
            </w:r>
          </w:p>
        </w:tc>
        <w:tc>
          <w:tcPr>
            <w:tcW w:w="4676" w:type="dxa"/>
          </w:tcPr>
          <w:p w14:paraId="5630A2F6" w14:textId="133647DC" w:rsidR="00BC2FB6" w:rsidRPr="005A2DFA" w:rsidRDefault="003D4DBD" w:rsidP="0014521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Tailor </w:t>
            </w:r>
            <w:hyperlink r:id="rId17" w:history="1">
              <w:r w:rsidR="00C9116E" w:rsidRPr="009C5B2D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introductory </w:t>
              </w:r>
              <w:r w:rsidRPr="009C5B2D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presentations for </w:t>
              </w:r>
              <w:r w:rsidR="00C9116E" w:rsidRPr="009C5B2D">
                <w:rPr>
                  <w:rStyle w:val="Hyperlink"/>
                  <w:rFonts w:ascii="Arial" w:hAnsi="Arial" w:cs="Arial"/>
                  <w:sz w:val="22"/>
                  <w:szCs w:val="22"/>
                </w:rPr>
                <w:t>each skill area</w:t>
              </w:r>
            </w:hyperlink>
            <w:r w:rsidRPr="009C5B2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77" w:type="dxa"/>
          </w:tcPr>
          <w:p w14:paraId="22E8A0F1" w14:textId="77777777" w:rsidR="00BC2FB6" w:rsidRPr="002F5E35" w:rsidRDefault="00BC2FB6" w:rsidP="0014521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2FB6" w:rsidRPr="002F5E35" w14:paraId="0436316D" w14:textId="77777777" w:rsidTr="0014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676" w:type="dxa"/>
          </w:tcPr>
          <w:p w14:paraId="46F08D87" w14:textId="53A4DC78" w:rsidR="00BC2FB6" w:rsidRPr="005A2DFA" w:rsidRDefault="001C1273" w:rsidP="0014521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C1273">
              <w:rPr>
                <w:rFonts w:ascii="Arial" w:hAnsi="Arial" w:cs="Arial"/>
                <w:sz w:val="22"/>
                <w:szCs w:val="22"/>
              </w:rPr>
              <w:t>We track what information each employer has received to avoid repetition.</w:t>
            </w:r>
          </w:p>
        </w:tc>
        <w:tc>
          <w:tcPr>
            <w:tcW w:w="4676" w:type="dxa"/>
          </w:tcPr>
          <w:p w14:paraId="15724438" w14:textId="12C95E03" w:rsidR="00BC2FB6" w:rsidRPr="005A2DFA" w:rsidRDefault="001C1273" w:rsidP="0014521C">
            <w:pPr>
              <w:tabs>
                <w:tab w:val="left" w:pos="111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C1273">
              <w:rPr>
                <w:rFonts w:ascii="Arial" w:hAnsi="Arial" w:cs="Arial"/>
                <w:sz w:val="22"/>
                <w:szCs w:val="22"/>
              </w:rPr>
              <w:t>Record links or attachments sent in the enquiry log.</w:t>
            </w:r>
          </w:p>
        </w:tc>
        <w:tc>
          <w:tcPr>
            <w:tcW w:w="4677" w:type="dxa"/>
          </w:tcPr>
          <w:p w14:paraId="5BAFD974" w14:textId="77777777" w:rsidR="00BC2FB6" w:rsidRPr="002F5E35" w:rsidRDefault="00BC2FB6" w:rsidP="0014521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2FB6" w:rsidRPr="002F5E35" w14:paraId="32732BDE" w14:textId="77777777" w:rsidTr="0014521C">
        <w:trPr>
          <w:cantSplit/>
        </w:trPr>
        <w:tc>
          <w:tcPr>
            <w:tcW w:w="4676" w:type="dxa"/>
          </w:tcPr>
          <w:p w14:paraId="2E12E6DC" w14:textId="77777777" w:rsidR="00BC2FB6" w:rsidRDefault="00BC2FB6" w:rsidP="0014521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262F4B9B" w14:textId="77777777" w:rsidR="00BC2FB6" w:rsidRPr="0041495E" w:rsidRDefault="00BC2FB6" w:rsidP="0014521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6" w:type="dxa"/>
          </w:tcPr>
          <w:p w14:paraId="7F74504C" w14:textId="77777777" w:rsidR="00BC2FB6" w:rsidRPr="0041495E" w:rsidRDefault="00BC2FB6" w:rsidP="0014521C">
            <w:pPr>
              <w:tabs>
                <w:tab w:val="left" w:pos="111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7" w:type="dxa"/>
          </w:tcPr>
          <w:p w14:paraId="2C396F64" w14:textId="77777777" w:rsidR="00BC2FB6" w:rsidRPr="002F5E35" w:rsidRDefault="00BC2FB6" w:rsidP="0014521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2FB6" w:rsidRPr="002F5E35" w14:paraId="38D00E72" w14:textId="77777777" w:rsidTr="0014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676" w:type="dxa"/>
          </w:tcPr>
          <w:p w14:paraId="0766A3A4" w14:textId="77777777" w:rsidR="00BC2FB6" w:rsidRDefault="00BC2FB6" w:rsidP="0014521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07A082B4" w14:textId="77777777" w:rsidR="00BC2FB6" w:rsidRPr="0041495E" w:rsidRDefault="00BC2FB6" w:rsidP="0014521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6" w:type="dxa"/>
          </w:tcPr>
          <w:p w14:paraId="33C2E8BE" w14:textId="77777777" w:rsidR="00BC2FB6" w:rsidRPr="0041495E" w:rsidRDefault="00BC2FB6" w:rsidP="0014521C">
            <w:pPr>
              <w:tabs>
                <w:tab w:val="left" w:pos="111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7" w:type="dxa"/>
          </w:tcPr>
          <w:p w14:paraId="57678116" w14:textId="77777777" w:rsidR="00BC2FB6" w:rsidRPr="002F5E35" w:rsidRDefault="00BC2FB6" w:rsidP="0014521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101C38" w14:textId="77777777" w:rsidR="00BC2FB6" w:rsidRDefault="00BC2FB6" w:rsidP="00F3305F">
      <w:pPr>
        <w:spacing w:before="120" w:after="120"/>
        <w:rPr>
          <w:rFonts w:ascii="Arial" w:hAnsi="Arial" w:cs="Arial"/>
        </w:rPr>
      </w:pPr>
    </w:p>
    <w:p w14:paraId="67112A85" w14:textId="77777777" w:rsidR="00BC2FB6" w:rsidRPr="00EE156C" w:rsidRDefault="00BC2FB6" w:rsidP="00F3305F">
      <w:pPr>
        <w:spacing w:before="120" w:after="120"/>
        <w:rPr>
          <w:rFonts w:ascii="Arial" w:hAnsi="Arial" w:cs="Arial"/>
          <w:sz w:val="2"/>
          <w:szCs w:val="2"/>
        </w:rPr>
      </w:pPr>
    </w:p>
    <w:p w14:paraId="61062B33" w14:textId="77777777" w:rsidR="00884B44" w:rsidRPr="004B696B" w:rsidRDefault="00884B44" w:rsidP="00F3305F">
      <w:pPr>
        <w:pStyle w:val="Heading1"/>
        <w:spacing w:before="120" w:after="120"/>
        <w:rPr>
          <w:rFonts w:ascii="Arial" w:hAnsi="Arial" w:cs="Arial"/>
          <w:color w:val="auto"/>
        </w:rPr>
        <w:sectPr w:rsidR="00884B44" w:rsidRPr="004B696B" w:rsidSect="00381DF6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F8830C3" w14:textId="18EA2646" w:rsidR="0050503B" w:rsidRPr="00801D8E" w:rsidRDefault="0050503B" w:rsidP="00F3305F">
      <w:pPr>
        <w:pStyle w:val="Heading1"/>
        <w:spacing w:before="120" w:after="120"/>
        <w:rPr>
          <w:rFonts w:ascii="Arial" w:hAnsi="Arial" w:cs="Arial"/>
          <w:b/>
          <w:bCs/>
          <w:i/>
          <w:iCs/>
          <w:color w:val="FC4421"/>
          <w:sz w:val="28"/>
          <w:szCs w:val="28"/>
        </w:rPr>
      </w:pPr>
      <w:r w:rsidRPr="00801D8E">
        <w:rPr>
          <w:rFonts w:ascii="Arial" w:hAnsi="Arial" w:cs="Arial"/>
          <w:b/>
          <w:bCs/>
          <w:i/>
          <w:iCs/>
          <w:color w:val="FC4421"/>
          <w:sz w:val="28"/>
          <w:szCs w:val="28"/>
        </w:rPr>
        <w:lastRenderedPageBreak/>
        <w:t>Section 4: Following up and closing employer enquiries</w:t>
      </w:r>
      <w:r w:rsidR="00043834">
        <w:rPr>
          <w:rFonts w:ascii="Arial" w:hAnsi="Arial" w:cs="Arial"/>
          <w:b/>
          <w:bCs/>
          <w:i/>
          <w:iCs/>
          <w:color w:val="FC4421"/>
          <w:sz w:val="28"/>
          <w:szCs w:val="28"/>
        </w:rPr>
        <w:t>.</w:t>
      </w:r>
    </w:p>
    <w:p w14:paraId="0222017F" w14:textId="5E55DE0D" w:rsidR="005D3270" w:rsidRDefault="002721D0" w:rsidP="00F3305F">
      <w:pPr>
        <w:spacing w:before="120" w:after="120"/>
        <w:rPr>
          <w:rFonts w:ascii="Arial" w:hAnsi="Arial" w:cs="Arial"/>
        </w:rPr>
      </w:pPr>
      <w:r w:rsidRPr="002721D0">
        <w:rPr>
          <w:rFonts w:ascii="Arial" w:hAnsi="Arial" w:cs="Arial"/>
        </w:rPr>
        <w:t>Maintaining momentum, learning from experience and keeping employers warm.</w:t>
      </w:r>
    </w:p>
    <w:tbl>
      <w:tblPr>
        <w:tblStyle w:val="PlainTable1"/>
        <w:tblW w:w="14029" w:type="dxa"/>
        <w:tblBorders>
          <w:top w:val="single" w:sz="4" w:space="0" w:color="FC4421"/>
          <w:left w:val="single" w:sz="4" w:space="0" w:color="FC4421"/>
          <w:bottom w:val="single" w:sz="4" w:space="0" w:color="FC4421"/>
          <w:right w:val="single" w:sz="4" w:space="0" w:color="FC4421"/>
          <w:insideH w:val="single" w:sz="4" w:space="0" w:color="FC4421"/>
          <w:insideV w:val="single" w:sz="4" w:space="0" w:color="FC4421"/>
        </w:tblBorders>
        <w:tblLayout w:type="fixed"/>
        <w:tblLook w:val="0420" w:firstRow="1" w:lastRow="0" w:firstColumn="0" w:lastColumn="0" w:noHBand="0" w:noVBand="1"/>
      </w:tblPr>
      <w:tblGrid>
        <w:gridCol w:w="4676"/>
        <w:gridCol w:w="4676"/>
        <w:gridCol w:w="4677"/>
      </w:tblGrid>
      <w:tr w:rsidR="002721D0" w:rsidRPr="00F36BDF" w14:paraId="10661CA4" w14:textId="77777777" w:rsidTr="001452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4676" w:type="dxa"/>
            <w:shd w:val="clear" w:color="auto" w:fill="FC4421"/>
          </w:tcPr>
          <w:p w14:paraId="045C10A1" w14:textId="77777777" w:rsidR="002721D0" w:rsidRPr="00F36BDF" w:rsidRDefault="002721D0" w:rsidP="0014521C">
            <w:pPr>
              <w:spacing w:before="120" w:after="120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Good practice s</w:t>
            </w:r>
            <w:r w:rsidRPr="00F36BDF">
              <w:rPr>
                <w:rFonts w:ascii="Arial" w:hAnsi="Arial" w:cs="Arial"/>
                <w:color w:val="FFFFFF" w:themeColor="background1"/>
              </w:rPr>
              <w:t>tatement</w:t>
            </w:r>
          </w:p>
        </w:tc>
        <w:tc>
          <w:tcPr>
            <w:tcW w:w="4676" w:type="dxa"/>
            <w:shd w:val="clear" w:color="auto" w:fill="FC4421"/>
          </w:tcPr>
          <w:p w14:paraId="5AF6AAEE" w14:textId="77777777" w:rsidR="002721D0" w:rsidRPr="00F36BDF" w:rsidRDefault="002721D0" w:rsidP="0014521C">
            <w:pPr>
              <w:spacing w:before="120" w:after="120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Suggested improvement ideas</w:t>
            </w:r>
          </w:p>
        </w:tc>
        <w:tc>
          <w:tcPr>
            <w:tcW w:w="4677" w:type="dxa"/>
            <w:shd w:val="clear" w:color="auto" w:fill="FC4421"/>
          </w:tcPr>
          <w:p w14:paraId="44086060" w14:textId="77777777" w:rsidR="002721D0" w:rsidRPr="00F36BDF" w:rsidRDefault="002721D0" w:rsidP="0014521C">
            <w:pPr>
              <w:spacing w:before="120" w:after="120"/>
              <w:rPr>
                <w:rFonts w:ascii="Arial" w:hAnsi="Arial" w:cs="Arial"/>
                <w:color w:val="FFFFFF" w:themeColor="background1"/>
              </w:rPr>
            </w:pPr>
            <w:r w:rsidRPr="00F36BDF">
              <w:rPr>
                <w:rFonts w:ascii="Arial" w:hAnsi="Arial" w:cs="Arial"/>
                <w:color w:val="FFFFFF" w:themeColor="background1"/>
              </w:rPr>
              <w:t>Action</w:t>
            </w:r>
            <w:r>
              <w:rPr>
                <w:rFonts w:ascii="Arial" w:hAnsi="Arial" w:cs="Arial"/>
                <w:color w:val="FFFFFF" w:themeColor="background1"/>
              </w:rPr>
              <w:t xml:space="preserve"> / owner</w:t>
            </w:r>
          </w:p>
        </w:tc>
      </w:tr>
      <w:tr w:rsidR="002721D0" w:rsidRPr="002F5E35" w14:paraId="2CFE89BC" w14:textId="77777777" w:rsidTr="0014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676" w:type="dxa"/>
          </w:tcPr>
          <w:p w14:paraId="38658A48" w14:textId="6EB618B5" w:rsidR="002721D0" w:rsidRPr="00CB39F3" w:rsidRDefault="002721D0" w:rsidP="0014521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721D0">
              <w:rPr>
                <w:rFonts w:ascii="Arial" w:hAnsi="Arial" w:cs="Arial"/>
                <w:sz w:val="22"/>
                <w:szCs w:val="22"/>
              </w:rPr>
              <w:t>Every enquiry has a scheduled follow-up and a clear owner.</w:t>
            </w:r>
          </w:p>
        </w:tc>
        <w:tc>
          <w:tcPr>
            <w:tcW w:w="4676" w:type="dxa"/>
          </w:tcPr>
          <w:p w14:paraId="2A76C9AB" w14:textId="493EFDCD" w:rsidR="002721D0" w:rsidRPr="002F5E35" w:rsidRDefault="00791644" w:rsidP="0014521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91644">
              <w:rPr>
                <w:rFonts w:ascii="Arial" w:hAnsi="Arial" w:cs="Arial"/>
                <w:sz w:val="22"/>
                <w:szCs w:val="22"/>
              </w:rPr>
              <w:t>Add automatic reminders in your CRM or Outlook.</w:t>
            </w:r>
          </w:p>
        </w:tc>
        <w:tc>
          <w:tcPr>
            <w:tcW w:w="4677" w:type="dxa"/>
          </w:tcPr>
          <w:p w14:paraId="2A2372F9" w14:textId="77777777" w:rsidR="002721D0" w:rsidRPr="002F5E35" w:rsidRDefault="002721D0" w:rsidP="0014521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21D0" w:rsidRPr="002F5E35" w14:paraId="72BF55B7" w14:textId="77777777" w:rsidTr="0014521C">
        <w:trPr>
          <w:cantSplit/>
        </w:trPr>
        <w:tc>
          <w:tcPr>
            <w:tcW w:w="4676" w:type="dxa"/>
          </w:tcPr>
          <w:p w14:paraId="3BF6AB84" w14:textId="6E91986F" w:rsidR="002721D0" w:rsidRPr="00CB39F3" w:rsidRDefault="00D30F3E" w:rsidP="0014521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 gather success stories from employers to contextualise industry placements. </w:t>
            </w:r>
          </w:p>
        </w:tc>
        <w:tc>
          <w:tcPr>
            <w:tcW w:w="4676" w:type="dxa"/>
          </w:tcPr>
          <w:p w14:paraId="011EC5F7" w14:textId="179942D6" w:rsidR="002721D0" w:rsidRPr="002F5E35" w:rsidRDefault="00FD1289" w:rsidP="0014521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Methodically collect information from employers to </w:t>
            </w:r>
            <w:hyperlink r:id="rId18" w:history="1">
              <w:r w:rsidRPr="00131005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support the development of quotes and </w:t>
              </w:r>
              <w:r w:rsidR="00131005" w:rsidRPr="00131005">
                <w:rPr>
                  <w:rStyle w:val="Hyperlink"/>
                  <w:rFonts w:ascii="Arial" w:hAnsi="Arial" w:cs="Arial"/>
                  <w:sz w:val="22"/>
                  <w:szCs w:val="22"/>
                </w:rPr>
                <w:t>case studies</w:t>
              </w:r>
            </w:hyperlink>
            <w:r w:rsidR="0013100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4677" w:type="dxa"/>
          </w:tcPr>
          <w:p w14:paraId="149D547F" w14:textId="77777777" w:rsidR="002721D0" w:rsidRPr="002F5E35" w:rsidRDefault="002721D0" w:rsidP="0014521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1005" w:rsidRPr="002F5E35" w14:paraId="3E334CB0" w14:textId="77777777" w:rsidTr="0014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676" w:type="dxa"/>
          </w:tcPr>
          <w:p w14:paraId="3148410F" w14:textId="7A9DE27A" w:rsidR="00131005" w:rsidRPr="00CB39F3" w:rsidRDefault="00131005" w:rsidP="0013100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91644">
              <w:rPr>
                <w:rFonts w:ascii="Arial" w:hAnsi="Arial" w:cs="Arial"/>
                <w:sz w:val="22"/>
                <w:szCs w:val="22"/>
              </w:rPr>
              <w:t>Employers are thanked and updated even if they decide not to host right now.</w:t>
            </w:r>
          </w:p>
        </w:tc>
        <w:tc>
          <w:tcPr>
            <w:tcW w:w="4676" w:type="dxa"/>
          </w:tcPr>
          <w:p w14:paraId="3BF4AA27" w14:textId="16065317" w:rsidR="00131005" w:rsidRPr="002F5E35" w:rsidRDefault="00131005" w:rsidP="0013100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91644">
              <w:rPr>
                <w:rFonts w:ascii="Arial" w:hAnsi="Arial" w:cs="Arial"/>
                <w:sz w:val="22"/>
                <w:szCs w:val="22"/>
              </w:rPr>
              <w:t>Use a standard “thank-you / stay-in-touch” email template.</w:t>
            </w:r>
          </w:p>
        </w:tc>
        <w:tc>
          <w:tcPr>
            <w:tcW w:w="4677" w:type="dxa"/>
          </w:tcPr>
          <w:p w14:paraId="34305B82" w14:textId="77777777" w:rsidR="00131005" w:rsidRPr="002F5E35" w:rsidRDefault="00131005" w:rsidP="0013100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1005" w:rsidRPr="002F5E35" w14:paraId="24255C74" w14:textId="77777777" w:rsidTr="0014521C">
        <w:trPr>
          <w:cantSplit/>
        </w:trPr>
        <w:tc>
          <w:tcPr>
            <w:tcW w:w="4676" w:type="dxa"/>
          </w:tcPr>
          <w:p w14:paraId="5111DA32" w14:textId="0F2C3C80" w:rsidR="00131005" w:rsidRPr="005A2DFA" w:rsidRDefault="00131005" w:rsidP="0013100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C0AAC">
              <w:rPr>
                <w:rFonts w:ascii="Arial" w:hAnsi="Arial" w:cs="Arial"/>
                <w:sz w:val="22"/>
                <w:szCs w:val="22"/>
              </w:rPr>
              <w:t>We collect and log feedback on how easy the enquiry process was.</w:t>
            </w:r>
          </w:p>
        </w:tc>
        <w:tc>
          <w:tcPr>
            <w:tcW w:w="4676" w:type="dxa"/>
          </w:tcPr>
          <w:p w14:paraId="34EC9D56" w14:textId="06A467F6" w:rsidR="00131005" w:rsidRPr="005A2DFA" w:rsidRDefault="00131005" w:rsidP="0013100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hyperlink r:id="rId19" w:history="1">
              <w:r w:rsidRPr="00331591">
                <w:rPr>
                  <w:rStyle w:val="Hyperlink"/>
                  <w:rFonts w:ascii="Arial" w:hAnsi="Arial" w:cs="Arial"/>
                  <w:sz w:val="22"/>
                  <w:szCs w:val="22"/>
                </w:rPr>
                <w:t>Survey employers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at the end of the employer engagement process to improve the service.</w:t>
            </w:r>
          </w:p>
        </w:tc>
        <w:tc>
          <w:tcPr>
            <w:tcW w:w="4677" w:type="dxa"/>
          </w:tcPr>
          <w:p w14:paraId="745CB8AB" w14:textId="77777777" w:rsidR="00131005" w:rsidRPr="002F5E35" w:rsidRDefault="00131005" w:rsidP="0013100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1005" w:rsidRPr="002F5E35" w14:paraId="13C84A66" w14:textId="77777777" w:rsidTr="0014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676" w:type="dxa"/>
          </w:tcPr>
          <w:p w14:paraId="48588A02" w14:textId="7FAEE647" w:rsidR="00131005" w:rsidRPr="005A2DFA" w:rsidRDefault="00DB0803" w:rsidP="0013100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B0803">
              <w:rPr>
                <w:rFonts w:ascii="Arial" w:hAnsi="Arial" w:cs="Arial"/>
                <w:sz w:val="22"/>
                <w:szCs w:val="22"/>
              </w:rPr>
              <w:t>Past or paused contacts receive regular updates to stay connected.</w:t>
            </w:r>
          </w:p>
        </w:tc>
        <w:tc>
          <w:tcPr>
            <w:tcW w:w="4676" w:type="dxa"/>
          </w:tcPr>
          <w:p w14:paraId="07B34D97" w14:textId="65E28140" w:rsidR="00131005" w:rsidRPr="005A2DFA" w:rsidRDefault="00DB0803" w:rsidP="00131005">
            <w:pPr>
              <w:tabs>
                <w:tab w:val="left" w:pos="111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B0803">
              <w:rPr>
                <w:rFonts w:ascii="Arial" w:hAnsi="Arial" w:cs="Arial"/>
                <w:sz w:val="22"/>
                <w:szCs w:val="22"/>
              </w:rPr>
              <w:t xml:space="preserve">Include them in </w:t>
            </w:r>
            <w:hyperlink r:id="rId20" w:history="1">
              <w:r w:rsidRPr="00DB0803">
                <w:rPr>
                  <w:rStyle w:val="Hyperlink"/>
                  <w:rFonts w:ascii="Arial" w:hAnsi="Arial" w:cs="Arial"/>
                  <w:sz w:val="22"/>
                  <w:szCs w:val="22"/>
                </w:rPr>
                <w:t>newsletters</w:t>
              </w:r>
            </w:hyperlink>
            <w:r w:rsidRPr="00DB0803">
              <w:rPr>
                <w:rFonts w:ascii="Arial" w:hAnsi="Arial" w:cs="Arial"/>
                <w:sz w:val="22"/>
                <w:szCs w:val="22"/>
              </w:rPr>
              <w:t xml:space="preserve"> or invite to student showcases.</w:t>
            </w:r>
          </w:p>
        </w:tc>
        <w:tc>
          <w:tcPr>
            <w:tcW w:w="4677" w:type="dxa"/>
          </w:tcPr>
          <w:p w14:paraId="04B44BB0" w14:textId="77777777" w:rsidR="00131005" w:rsidRPr="002F5E35" w:rsidRDefault="00131005" w:rsidP="0013100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1005" w:rsidRPr="002F5E35" w14:paraId="75A42225" w14:textId="77777777" w:rsidTr="0014521C">
        <w:trPr>
          <w:cantSplit/>
        </w:trPr>
        <w:tc>
          <w:tcPr>
            <w:tcW w:w="4676" w:type="dxa"/>
          </w:tcPr>
          <w:p w14:paraId="0D3EF576" w14:textId="77777777" w:rsidR="00131005" w:rsidRDefault="00131005" w:rsidP="0013100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3A9D41CD" w14:textId="431AFA2D" w:rsidR="00482A04" w:rsidRPr="0041495E" w:rsidRDefault="00482A04" w:rsidP="0013100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6" w:type="dxa"/>
          </w:tcPr>
          <w:p w14:paraId="3DF221FA" w14:textId="23C120FB" w:rsidR="00131005" w:rsidRPr="0041495E" w:rsidRDefault="00131005" w:rsidP="00131005">
            <w:pPr>
              <w:tabs>
                <w:tab w:val="left" w:pos="111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7" w:type="dxa"/>
          </w:tcPr>
          <w:p w14:paraId="0D0E38C2" w14:textId="77777777" w:rsidR="00131005" w:rsidRPr="002F5E35" w:rsidRDefault="00131005" w:rsidP="0013100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1005" w:rsidRPr="002F5E35" w14:paraId="791A230F" w14:textId="77777777" w:rsidTr="0014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4676" w:type="dxa"/>
          </w:tcPr>
          <w:p w14:paraId="23D6BA74" w14:textId="77777777" w:rsidR="00131005" w:rsidRDefault="00131005" w:rsidP="0013100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1A405F7B" w14:textId="20FA77E4" w:rsidR="00482A04" w:rsidRPr="0041495E" w:rsidRDefault="00482A04" w:rsidP="0013100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6" w:type="dxa"/>
          </w:tcPr>
          <w:p w14:paraId="329BBC77" w14:textId="5D765DD4" w:rsidR="00131005" w:rsidRPr="0041495E" w:rsidRDefault="00131005" w:rsidP="00131005">
            <w:pPr>
              <w:tabs>
                <w:tab w:val="left" w:pos="111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7" w:type="dxa"/>
          </w:tcPr>
          <w:p w14:paraId="1B99DF59" w14:textId="77777777" w:rsidR="00131005" w:rsidRPr="002F5E35" w:rsidRDefault="00131005" w:rsidP="0013100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01C25A" w14:textId="77777777" w:rsidR="002721D0" w:rsidRDefault="002721D0" w:rsidP="00F3305F">
      <w:pPr>
        <w:spacing w:before="120" w:after="120"/>
        <w:rPr>
          <w:rFonts w:ascii="Arial" w:hAnsi="Arial" w:cs="Arial"/>
        </w:rPr>
      </w:pPr>
    </w:p>
    <w:p w14:paraId="4E1DB225" w14:textId="77777777" w:rsidR="0050503B" w:rsidRPr="004B696B" w:rsidRDefault="0050503B" w:rsidP="00F3305F">
      <w:pPr>
        <w:spacing w:before="120" w:after="120"/>
        <w:rPr>
          <w:rFonts w:ascii="Arial" w:hAnsi="Arial" w:cs="Arial"/>
        </w:rPr>
      </w:pPr>
    </w:p>
    <w:p w14:paraId="4735A6F7" w14:textId="4C3FFEC5" w:rsidR="0006374C" w:rsidRPr="004B696B" w:rsidRDefault="0006374C" w:rsidP="00F3305F">
      <w:pPr>
        <w:spacing w:before="120" w:after="120"/>
        <w:rPr>
          <w:rFonts w:ascii="Arial" w:hAnsi="Arial" w:cs="Arial"/>
        </w:rPr>
      </w:pPr>
    </w:p>
    <w:sectPr w:rsidR="0006374C" w:rsidRPr="004B696B" w:rsidSect="00381DF6">
      <w:pgSz w:w="16838" w:h="11906" w:orient="landscape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B4264" w14:textId="77777777" w:rsidR="00CC516A" w:rsidRDefault="00CC516A" w:rsidP="00F0602E">
      <w:r>
        <w:separator/>
      </w:r>
    </w:p>
  </w:endnote>
  <w:endnote w:type="continuationSeparator" w:id="0">
    <w:p w14:paraId="5286A59A" w14:textId="77777777" w:rsidR="00CC516A" w:rsidRDefault="00CC516A" w:rsidP="00F0602E">
      <w:r>
        <w:continuationSeparator/>
      </w:r>
    </w:p>
  </w:endnote>
  <w:endnote w:type="continuationNotice" w:id="1">
    <w:p w14:paraId="19A40591" w14:textId="77777777" w:rsidR="00CC516A" w:rsidRDefault="00CC51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FE603" w14:textId="7E707891" w:rsidR="00F0602E" w:rsidRDefault="002A39FE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CE3EA6" wp14:editId="72463666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095375" cy="368081"/>
          <wp:effectExtent l="0" t="0" r="0" b="0"/>
          <wp:wrapNone/>
          <wp:docPr id="2028700913" name="Picture 202870091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368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218E0" w14:textId="77777777" w:rsidR="00CC516A" w:rsidRDefault="00CC516A" w:rsidP="00F0602E">
      <w:r>
        <w:separator/>
      </w:r>
    </w:p>
  </w:footnote>
  <w:footnote w:type="continuationSeparator" w:id="0">
    <w:p w14:paraId="142B5388" w14:textId="77777777" w:rsidR="00CC516A" w:rsidRDefault="00CC516A" w:rsidP="00F0602E">
      <w:r>
        <w:continuationSeparator/>
      </w:r>
    </w:p>
  </w:footnote>
  <w:footnote w:type="continuationNotice" w:id="1">
    <w:p w14:paraId="1FFA2D51" w14:textId="77777777" w:rsidR="00CC516A" w:rsidRDefault="00CC51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57232" w14:textId="0EF84A6E" w:rsidR="00F0602E" w:rsidRDefault="00F0602E">
    <w:pPr>
      <w:pStyle w:val="Header"/>
    </w:pPr>
    <w:r>
      <w:rPr>
        <w:noProof/>
      </w:rPr>
      <w:drawing>
        <wp:inline distT="0" distB="0" distL="0" distR="0" wp14:anchorId="29BC2029" wp14:editId="664C22F8">
          <wp:extent cx="1642628" cy="534318"/>
          <wp:effectExtent l="0" t="0" r="0" b="0"/>
          <wp:docPr id="2100762925" name="Picture 2" descr="A black background with orang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720649" name="Picture 2" descr="A black background with orange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603" cy="543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A754D"/>
    <w:multiLevelType w:val="hybridMultilevel"/>
    <w:tmpl w:val="9968B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50691"/>
    <w:multiLevelType w:val="hybridMultilevel"/>
    <w:tmpl w:val="48A69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A07E2"/>
    <w:multiLevelType w:val="hybridMultilevel"/>
    <w:tmpl w:val="0F20A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9620D"/>
    <w:multiLevelType w:val="hybridMultilevel"/>
    <w:tmpl w:val="9C62C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45D76"/>
    <w:multiLevelType w:val="hybridMultilevel"/>
    <w:tmpl w:val="9F622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D56A0"/>
    <w:multiLevelType w:val="multilevel"/>
    <w:tmpl w:val="00AAD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F325ED"/>
    <w:multiLevelType w:val="hybridMultilevel"/>
    <w:tmpl w:val="5A2826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8C6702"/>
    <w:multiLevelType w:val="multilevel"/>
    <w:tmpl w:val="076E8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F62DA2"/>
    <w:multiLevelType w:val="multilevel"/>
    <w:tmpl w:val="D3B8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AD2F0D"/>
    <w:multiLevelType w:val="hybridMultilevel"/>
    <w:tmpl w:val="6250F6F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34F618A"/>
    <w:multiLevelType w:val="multilevel"/>
    <w:tmpl w:val="69D22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B8361F"/>
    <w:multiLevelType w:val="hybridMultilevel"/>
    <w:tmpl w:val="21DC4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0A4C8F"/>
    <w:multiLevelType w:val="hybridMultilevel"/>
    <w:tmpl w:val="92D21DC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77275644">
    <w:abstractNumId w:val="1"/>
  </w:num>
  <w:num w:numId="2" w16cid:durableId="1805272979">
    <w:abstractNumId w:val="0"/>
  </w:num>
  <w:num w:numId="3" w16cid:durableId="2035419435">
    <w:abstractNumId w:val="9"/>
  </w:num>
  <w:num w:numId="4" w16cid:durableId="1094397060">
    <w:abstractNumId w:val="12"/>
  </w:num>
  <w:num w:numId="5" w16cid:durableId="687832682">
    <w:abstractNumId w:val="11"/>
  </w:num>
  <w:num w:numId="6" w16cid:durableId="588269309">
    <w:abstractNumId w:val="2"/>
  </w:num>
  <w:num w:numId="7" w16cid:durableId="635917578">
    <w:abstractNumId w:val="6"/>
  </w:num>
  <w:num w:numId="8" w16cid:durableId="1795755138">
    <w:abstractNumId w:val="4"/>
  </w:num>
  <w:num w:numId="9" w16cid:durableId="1006009948">
    <w:abstractNumId w:val="7"/>
  </w:num>
  <w:num w:numId="10" w16cid:durableId="2064523795">
    <w:abstractNumId w:val="5"/>
  </w:num>
  <w:num w:numId="11" w16cid:durableId="1286547044">
    <w:abstractNumId w:val="8"/>
  </w:num>
  <w:num w:numId="12" w16cid:durableId="1572496271">
    <w:abstractNumId w:val="10"/>
  </w:num>
  <w:num w:numId="13" w16cid:durableId="10654464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3B"/>
    <w:rsid w:val="000352AA"/>
    <w:rsid w:val="000366C0"/>
    <w:rsid w:val="00043834"/>
    <w:rsid w:val="0006374C"/>
    <w:rsid w:val="000B4F4F"/>
    <w:rsid w:val="000B7D38"/>
    <w:rsid w:val="000C1690"/>
    <w:rsid w:val="000C3DD8"/>
    <w:rsid w:val="000D0F59"/>
    <w:rsid w:val="000F194C"/>
    <w:rsid w:val="00131005"/>
    <w:rsid w:val="00142BA9"/>
    <w:rsid w:val="0014697C"/>
    <w:rsid w:val="00153C5B"/>
    <w:rsid w:val="0016077E"/>
    <w:rsid w:val="00186042"/>
    <w:rsid w:val="00187ED8"/>
    <w:rsid w:val="001A2314"/>
    <w:rsid w:val="001B11CA"/>
    <w:rsid w:val="001C1273"/>
    <w:rsid w:val="001E52CB"/>
    <w:rsid w:val="001E7539"/>
    <w:rsid w:val="002212DD"/>
    <w:rsid w:val="00260A20"/>
    <w:rsid w:val="0026264B"/>
    <w:rsid w:val="002645F7"/>
    <w:rsid w:val="0026647A"/>
    <w:rsid w:val="002708E5"/>
    <w:rsid w:val="002721D0"/>
    <w:rsid w:val="002A39FE"/>
    <w:rsid w:val="002A775D"/>
    <w:rsid w:val="002E03EC"/>
    <w:rsid w:val="002F2E8A"/>
    <w:rsid w:val="002F5E35"/>
    <w:rsid w:val="00303E7E"/>
    <w:rsid w:val="00314A8A"/>
    <w:rsid w:val="003223D2"/>
    <w:rsid w:val="00331591"/>
    <w:rsid w:val="00357D43"/>
    <w:rsid w:val="00381DF6"/>
    <w:rsid w:val="00392407"/>
    <w:rsid w:val="003954C2"/>
    <w:rsid w:val="003A736C"/>
    <w:rsid w:val="003B5287"/>
    <w:rsid w:val="003B6DA7"/>
    <w:rsid w:val="003B76D2"/>
    <w:rsid w:val="003D4DBD"/>
    <w:rsid w:val="003D6842"/>
    <w:rsid w:val="003E1F35"/>
    <w:rsid w:val="003F1A4E"/>
    <w:rsid w:val="003F57A8"/>
    <w:rsid w:val="003F662C"/>
    <w:rsid w:val="00403AD2"/>
    <w:rsid w:val="0040711C"/>
    <w:rsid w:val="004135C7"/>
    <w:rsid w:val="0041495E"/>
    <w:rsid w:val="004302EA"/>
    <w:rsid w:val="00461577"/>
    <w:rsid w:val="004739C7"/>
    <w:rsid w:val="00482A04"/>
    <w:rsid w:val="004B0E3B"/>
    <w:rsid w:val="004B2081"/>
    <w:rsid w:val="004B2133"/>
    <w:rsid w:val="004B696B"/>
    <w:rsid w:val="004D3758"/>
    <w:rsid w:val="004D3A64"/>
    <w:rsid w:val="004D4601"/>
    <w:rsid w:val="004D4D93"/>
    <w:rsid w:val="0050503B"/>
    <w:rsid w:val="00517E44"/>
    <w:rsid w:val="00517F95"/>
    <w:rsid w:val="00534FC8"/>
    <w:rsid w:val="00546990"/>
    <w:rsid w:val="00553B27"/>
    <w:rsid w:val="00562675"/>
    <w:rsid w:val="0057520D"/>
    <w:rsid w:val="005A2DFA"/>
    <w:rsid w:val="005A6524"/>
    <w:rsid w:val="005D3270"/>
    <w:rsid w:val="005D3F8C"/>
    <w:rsid w:val="00617611"/>
    <w:rsid w:val="00634CBE"/>
    <w:rsid w:val="00635713"/>
    <w:rsid w:val="0066194F"/>
    <w:rsid w:val="00662034"/>
    <w:rsid w:val="006645C9"/>
    <w:rsid w:val="00665544"/>
    <w:rsid w:val="00667598"/>
    <w:rsid w:val="00694E54"/>
    <w:rsid w:val="006A780D"/>
    <w:rsid w:val="006E27AF"/>
    <w:rsid w:val="006E3DC3"/>
    <w:rsid w:val="006E672E"/>
    <w:rsid w:val="006F106E"/>
    <w:rsid w:val="007039E3"/>
    <w:rsid w:val="00706AF5"/>
    <w:rsid w:val="00707FD7"/>
    <w:rsid w:val="007140AE"/>
    <w:rsid w:val="00752BAF"/>
    <w:rsid w:val="0076770F"/>
    <w:rsid w:val="0078577A"/>
    <w:rsid w:val="00791644"/>
    <w:rsid w:val="007A57B4"/>
    <w:rsid w:val="007B1DED"/>
    <w:rsid w:val="007B5CED"/>
    <w:rsid w:val="007C39D6"/>
    <w:rsid w:val="007D7CAB"/>
    <w:rsid w:val="007F2DD5"/>
    <w:rsid w:val="007F2EBB"/>
    <w:rsid w:val="00801D8E"/>
    <w:rsid w:val="00840535"/>
    <w:rsid w:val="008515F4"/>
    <w:rsid w:val="00871CC9"/>
    <w:rsid w:val="00884B44"/>
    <w:rsid w:val="008A6D2E"/>
    <w:rsid w:val="008B0499"/>
    <w:rsid w:val="008B4526"/>
    <w:rsid w:val="008D5177"/>
    <w:rsid w:val="009004A9"/>
    <w:rsid w:val="0090093B"/>
    <w:rsid w:val="009210D6"/>
    <w:rsid w:val="00961266"/>
    <w:rsid w:val="009674FF"/>
    <w:rsid w:val="00971E4B"/>
    <w:rsid w:val="00980ABD"/>
    <w:rsid w:val="00987887"/>
    <w:rsid w:val="00996624"/>
    <w:rsid w:val="009A078F"/>
    <w:rsid w:val="009A61DD"/>
    <w:rsid w:val="009B2DAF"/>
    <w:rsid w:val="009B739E"/>
    <w:rsid w:val="009C5B2D"/>
    <w:rsid w:val="00A20415"/>
    <w:rsid w:val="00A26DB5"/>
    <w:rsid w:val="00A35F8B"/>
    <w:rsid w:val="00A41113"/>
    <w:rsid w:val="00A42B66"/>
    <w:rsid w:val="00A8551A"/>
    <w:rsid w:val="00A97A1A"/>
    <w:rsid w:val="00AA22D4"/>
    <w:rsid w:val="00AC0AAC"/>
    <w:rsid w:val="00AE0E0A"/>
    <w:rsid w:val="00AE4072"/>
    <w:rsid w:val="00AF5E72"/>
    <w:rsid w:val="00AF6DC9"/>
    <w:rsid w:val="00B06DA7"/>
    <w:rsid w:val="00B10882"/>
    <w:rsid w:val="00B13236"/>
    <w:rsid w:val="00B13D44"/>
    <w:rsid w:val="00B45707"/>
    <w:rsid w:val="00B5320A"/>
    <w:rsid w:val="00B53608"/>
    <w:rsid w:val="00B6508A"/>
    <w:rsid w:val="00B6680A"/>
    <w:rsid w:val="00B6752C"/>
    <w:rsid w:val="00B81A33"/>
    <w:rsid w:val="00BB6CF4"/>
    <w:rsid w:val="00BC2F1B"/>
    <w:rsid w:val="00BC2FB6"/>
    <w:rsid w:val="00BC37E6"/>
    <w:rsid w:val="00BD0C07"/>
    <w:rsid w:val="00BD54B2"/>
    <w:rsid w:val="00BE128E"/>
    <w:rsid w:val="00BF30E2"/>
    <w:rsid w:val="00BF449A"/>
    <w:rsid w:val="00C10B53"/>
    <w:rsid w:val="00C20B1E"/>
    <w:rsid w:val="00C27383"/>
    <w:rsid w:val="00C27DEA"/>
    <w:rsid w:val="00C65DCE"/>
    <w:rsid w:val="00C75680"/>
    <w:rsid w:val="00C76EB9"/>
    <w:rsid w:val="00C839B8"/>
    <w:rsid w:val="00C9116E"/>
    <w:rsid w:val="00C9620D"/>
    <w:rsid w:val="00C97AA3"/>
    <w:rsid w:val="00CA314F"/>
    <w:rsid w:val="00CB39F3"/>
    <w:rsid w:val="00CC516A"/>
    <w:rsid w:val="00CF3CAD"/>
    <w:rsid w:val="00CF4965"/>
    <w:rsid w:val="00D01CA0"/>
    <w:rsid w:val="00D16EA3"/>
    <w:rsid w:val="00D30F3E"/>
    <w:rsid w:val="00D56A9D"/>
    <w:rsid w:val="00D8436A"/>
    <w:rsid w:val="00DA1849"/>
    <w:rsid w:val="00DB0803"/>
    <w:rsid w:val="00DB75EF"/>
    <w:rsid w:val="00DD4926"/>
    <w:rsid w:val="00E520A6"/>
    <w:rsid w:val="00E53A70"/>
    <w:rsid w:val="00E60615"/>
    <w:rsid w:val="00E6701B"/>
    <w:rsid w:val="00E8488B"/>
    <w:rsid w:val="00E851B9"/>
    <w:rsid w:val="00EB001B"/>
    <w:rsid w:val="00EB6E73"/>
    <w:rsid w:val="00EC7C1D"/>
    <w:rsid w:val="00ED1118"/>
    <w:rsid w:val="00EE156C"/>
    <w:rsid w:val="00F0602E"/>
    <w:rsid w:val="00F12EC2"/>
    <w:rsid w:val="00F2539D"/>
    <w:rsid w:val="00F3077B"/>
    <w:rsid w:val="00F3235B"/>
    <w:rsid w:val="00F3305F"/>
    <w:rsid w:val="00F3365C"/>
    <w:rsid w:val="00F36BDF"/>
    <w:rsid w:val="00F85C2E"/>
    <w:rsid w:val="00FA0421"/>
    <w:rsid w:val="00FA71A4"/>
    <w:rsid w:val="00FB2A9E"/>
    <w:rsid w:val="00FB7DD0"/>
    <w:rsid w:val="00FD1289"/>
    <w:rsid w:val="00FF4EA5"/>
    <w:rsid w:val="1DE70DDB"/>
    <w:rsid w:val="3EC3B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AF53A"/>
  <w15:chartTrackingRefBased/>
  <w15:docId w15:val="{143BA95E-4ECC-AF44-A8DD-E46CFDAC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0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D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26DB5"/>
    <w:pPr>
      <w:keepNext/>
      <w:keepLines/>
      <w:spacing w:before="40"/>
      <w:outlineLvl w:val="2"/>
    </w:pPr>
    <w:rPr>
      <w:rFonts w:ascii="Open Sans" w:eastAsiaTheme="majorEastAsia" w:hAnsi="Open Sans" w:cstheme="majorBidi"/>
      <w:color w:val="1F3763" w:themeColor="accent1" w:themeShade="7F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26DB5"/>
    <w:rPr>
      <w:rFonts w:ascii="Open Sans" w:eastAsiaTheme="majorEastAsia" w:hAnsi="Open Sans" w:cstheme="majorBidi"/>
      <w:color w:val="1F3763" w:themeColor="accent1" w:themeShade="7F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50503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03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0503B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05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0503B"/>
    <w:pPr>
      <w:ind w:left="720"/>
      <w:contextualSpacing/>
    </w:pPr>
  </w:style>
  <w:style w:type="table" w:styleId="TableGrid">
    <w:name w:val="Table Grid"/>
    <w:basedOn w:val="TableNormal"/>
    <w:uiPriority w:val="39"/>
    <w:rsid w:val="00505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0503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A97A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A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60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02E"/>
  </w:style>
  <w:style w:type="paragraph" w:styleId="Footer">
    <w:name w:val="footer"/>
    <w:basedOn w:val="Normal"/>
    <w:link w:val="FooterChar"/>
    <w:uiPriority w:val="99"/>
    <w:unhideWhenUsed/>
    <w:rsid w:val="00F060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02E"/>
  </w:style>
  <w:style w:type="character" w:styleId="CommentReference">
    <w:name w:val="annotation reference"/>
    <w:basedOn w:val="DefaultParagraphFont"/>
    <w:uiPriority w:val="99"/>
    <w:semiHidden/>
    <w:unhideWhenUsed/>
    <w:rsid w:val="00634C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4C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4C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C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CB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7CAB"/>
  </w:style>
  <w:style w:type="character" w:styleId="Mention">
    <w:name w:val="Mention"/>
    <w:basedOn w:val="DefaultParagraphFont"/>
    <w:uiPriority w:val="99"/>
    <w:unhideWhenUsed/>
    <w:rsid w:val="00AF6DC9"/>
    <w:rPr>
      <w:color w:val="2B579A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3305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3305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3305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3305F"/>
    <w:rPr>
      <w:rFonts w:ascii="Arial" w:hAnsi="Arial" w:cs="Arial"/>
      <w:vanish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D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upport.tlevels.gov.uk/hc/en-gb/articles/18234455282322-Developing-your-customer-journey" TargetMode="External"/><Relationship Id="rId18" Type="http://schemas.openxmlformats.org/officeDocument/2006/relationships/hyperlink" Target="https://support.tlevels.gov.uk/hc/en-gb/articles/18075174225938-Showcase-success-with-a-case-study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support.tlevels.gov.uk/hc/en-gb/articles/18073822750482-Skill-Area-Introductory-Presentation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upport.tlevels.gov.uk/hc/en-gb/articles/18110430537746-Does-your-website-promote-your-T-Level-offer-effectively" TargetMode="External"/><Relationship Id="rId20" Type="http://schemas.openxmlformats.org/officeDocument/2006/relationships/hyperlink" Target="https://support.tlevels.gov.uk/hc/en-gb/articles/18110570948626-Build-and-share-impactful-newsletter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support.tlevels.gov.uk/hc/en-gb/articles/18075073385490-Deliver-a-strong-telephone-pitch-for-employer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upport.tlevels.gov.uk/hc/en-gb/articles/18110683957010-Gather-valuable-employer-feedbac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pport.tlevels.gov.uk/hc/en-gb/articles/18074978820754-Send-effective-outreach-emails-to-employers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F55405569884AB0A124CA152463B3" ma:contentTypeVersion="15" ma:contentTypeDescription="Create a new document." ma:contentTypeScope="" ma:versionID="e05f5d9d95ca8f7a513197800efe5511">
  <xsd:schema xmlns:xsd="http://www.w3.org/2001/XMLSchema" xmlns:xs="http://www.w3.org/2001/XMLSchema" xmlns:p="http://schemas.microsoft.com/office/2006/metadata/properties" xmlns:ns2="e331b3de-4d89-4303-8187-0e0a31be41e9" xmlns:ns3="1fa43e64-8a6d-4c3d-bfba-c0d9753f4fb0" targetNamespace="http://schemas.microsoft.com/office/2006/metadata/properties" ma:root="true" ma:fieldsID="d974d7d1c292d560b971676d8b40a59a" ns2:_="" ns3:_="">
    <xsd:import namespace="e331b3de-4d89-4303-8187-0e0a31be41e9"/>
    <xsd:import namespace="1fa43e64-8a6d-4c3d-bfba-c0d9753f4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1b3de-4d89-4303-8187-0e0a31be4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43e64-8a6d-4c3d-bfba-c0d9753f4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b3bc2cb-7429-4bee-88ae-e52a19ab2b64}" ma:internalName="TaxCatchAll" ma:showField="CatchAllData" ma:web="1fa43e64-8a6d-4c3d-bfba-c0d9753f4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a43e64-8a6d-4c3d-bfba-c0d9753f4fb0" xsi:nil="true"/>
    <lcf76f155ced4ddcb4097134ff3c332f xmlns="e331b3de-4d89-4303-8187-0e0a31be41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AE0905-FD31-884C-9E30-444610089F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AB95C4-CE05-46F9-8DAF-85E20FFD60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FF756-A345-4E9B-9A8D-E76E18E34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1b3de-4d89-4303-8187-0e0a31be41e9"/>
    <ds:schemaRef ds:uri="1fa43e64-8a6d-4c3d-bfba-c0d9753f4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A837EA-5727-4420-A622-49782CB8C16E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e331b3de-4d89-4303-8187-0e0a31be41e9"/>
    <ds:schemaRef ds:uri="http://purl.org/dc/terms/"/>
    <ds:schemaRef ds:uri="1fa43e64-8a6d-4c3d-bfba-c0d9753f4fb0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</CharactersWithSpaces>
  <SharedDoc>false</SharedDoc>
  <HLinks>
    <vt:vector size="30" baseType="variant">
      <vt:variant>
        <vt:i4>7602239</vt:i4>
      </vt:variant>
      <vt:variant>
        <vt:i4>9</vt:i4>
      </vt:variant>
      <vt:variant>
        <vt:i4>0</vt:i4>
      </vt:variant>
      <vt:variant>
        <vt:i4>5</vt:i4>
      </vt:variant>
      <vt:variant>
        <vt:lpwstr>https://support.tlevels.gov.uk/hc/en-gb</vt:lpwstr>
      </vt:variant>
      <vt:variant>
        <vt:lpwstr/>
      </vt:variant>
      <vt:variant>
        <vt:i4>589899</vt:i4>
      </vt:variant>
      <vt:variant>
        <vt:i4>6</vt:i4>
      </vt:variant>
      <vt:variant>
        <vt:i4>0</vt:i4>
      </vt:variant>
      <vt:variant>
        <vt:i4>5</vt:i4>
      </vt:variant>
      <vt:variant>
        <vt:lpwstr>https://employers.tlevels.gov.uk/hc/en-gb</vt:lpwstr>
      </vt:variant>
      <vt:variant>
        <vt:lpwstr/>
      </vt:variant>
      <vt:variant>
        <vt:i4>3801123</vt:i4>
      </vt:variant>
      <vt:variant>
        <vt:i4>3</vt:i4>
      </vt:variant>
      <vt:variant>
        <vt:i4>0</vt:i4>
      </vt:variant>
      <vt:variant>
        <vt:i4>5</vt:i4>
      </vt:variant>
      <vt:variant>
        <vt:lpwstr>https://www.tlevels.gov.uk/</vt:lpwstr>
      </vt:variant>
      <vt:variant>
        <vt:lpwstr/>
      </vt:variant>
      <vt:variant>
        <vt:i4>2490462</vt:i4>
      </vt:variant>
      <vt:variant>
        <vt:i4>3</vt:i4>
      </vt:variant>
      <vt:variant>
        <vt:i4>0</vt:i4>
      </vt:variant>
      <vt:variant>
        <vt:i4>5</vt:i4>
      </vt:variant>
      <vt:variant>
        <vt:lpwstr>mailto:colin@strategicdevelopmentnetwork.co.uk</vt:lpwstr>
      </vt:variant>
      <vt:variant>
        <vt:lpwstr/>
      </vt:variant>
      <vt:variant>
        <vt:i4>2490462</vt:i4>
      </vt:variant>
      <vt:variant>
        <vt:i4>0</vt:i4>
      </vt:variant>
      <vt:variant>
        <vt:i4>0</vt:i4>
      </vt:variant>
      <vt:variant>
        <vt:i4>5</vt:i4>
      </vt:variant>
      <vt:variant>
        <vt:lpwstr>mailto:colin@strategicdevelopmentnetwork.co.uk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Golding</dc:creator>
  <cp:keywords/>
  <dc:description/>
  <cp:lastModifiedBy>Nicki McGee</cp:lastModifiedBy>
  <cp:revision>77</cp:revision>
  <cp:lastPrinted>2024-02-15T12:40:00Z</cp:lastPrinted>
  <dcterms:created xsi:type="dcterms:W3CDTF">2025-10-06T12:43:00Z</dcterms:created>
  <dcterms:modified xsi:type="dcterms:W3CDTF">2025-10-21T18:19:00Z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0x0101002E4F55405569884AB0A124CA152463B3</vt:lpwstr>
  </property>
  <property fmtid="{D5CDD505-2E9C-101B-9397-08002B2CF9AE}" pid="3" name="MediaServiceImageTags">
    <vt:lpwstr/>
  </property>
</Properties>
</file>