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CCD58" w14:textId="041DA462" w:rsidR="00C873B1" w:rsidRPr="005D2A09" w:rsidRDefault="00A40872" w:rsidP="005D2A09">
      <w:pPr>
        <w:spacing w:after="0" w:line="240" w:lineRule="auto"/>
        <w:rPr>
          <w:rFonts w:cs="Arial"/>
          <w:b/>
          <w:bCs/>
          <w:i/>
          <w:iCs/>
          <w:caps/>
          <w:color w:val="FC4421"/>
          <w:kern w:val="2"/>
          <w:sz w:val="36"/>
          <w:szCs w:val="36"/>
          <w:lang w:val="en-GB"/>
          <w14:ligatures w14:val="standardContextual"/>
        </w:rPr>
      </w:pPr>
      <w:r w:rsidRPr="00617A02">
        <w:rPr>
          <w:rFonts w:cs="Arial"/>
          <w:b/>
          <w:bCs/>
          <w:i/>
          <w:iCs/>
          <w:caps/>
          <w:color w:val="FC4421"/>
          <w:kern w:val="2"/>
          <w:sz w:val="36"/>
          <w:szCs w:val="36"/>
          <w:lang w:val="en-GB"/>
          <w14:ligatures w14:val="standardContextual"/>
        </w:rPr>
        <w:t>Building creative and flexible T Level industry placements</w:t>
      </w:r>
    </w:p>
    <w:p w14:paraId="1B59980B" w14:textId="62FCF38C" w:rsidR="00617A02" w:rsidRPr="00617A02" w:rsidRDefault="00C873B1" w:rsidP="00617A02">
      <w:pPr>
        <w:pStyle w:val="Heading2"/>
        <w:rPr>
          <w:rFonts w:ascii="Arial" w:hAnsi="Arial" w:cs="Arial"/>
          <w:color w:val="FC4420"/>
          <w:sz w:val="24"/>
          <w:szCs w:val="24"/>
        </w:rPr>
      </w:pPr>
      <w:r w:rsidRPr="00617A02">
        <w:rPr>
          <w:rFonts w:ascii="Arial" w:hAnsi="Arial" w:cs="Arial"/>
          <w:color w:val="FC4420"/>
          <w:sz w:val="24"/>
          <w:szCs w:val="24"/>
        </w:rPr>
        <w:t>Introduction</w:t>
      </w:r>
      <w:r w:rsidR="00617A02">
        <w:rPr>
          <w:rFonts w:ascii="Arial" w:hAnsi="Arial" w:cs="Arial"/>
          <w:color w:val="FC4420"/>
          <w:sz w:val="24"/>
          <w:szCs w:val="24"/>
        </w:rPr>
        <w:br/>
      </w:r>
    </w:p>
    <w:p w14:paraId="77F78BB5" w14:textId="2E9AB17B" w:rsidR="00C873B1" w:rsidRDefault="00C873B1" w:rsidP="00C873B1">
      <w:pPr>
        <w:rPr>
          <w:rFonts w:cs="Arial"/>
        </w:rPr>
      </w:pPr>
      <w:hyperlink r:id="rId11" w:history="1">
        <w:r w:rsidRPr="00C873B1">
          <w:rPr>
            <w:rStyle w:val="Hyperlink"/>
            <w:rFonts w:cs="Arial"/>
          </w:rPr>
          <w:t>T Level industry placement guidance</w:t>
        </w:r>
      </w:hyperlink>
      <w:r w:rsidRPr="00CE11CF">
        <w:rPr>
          <w:rFonts w:cs="Arial"/>
        </w:rPr>
        <w:t xml:space="preserve"> allows a range of flexible models for good reason </w:t>
      </w:r>
      <w:r w:rsidR="00E66DDC">
        <w:rPr>
          <w:rFonts w:cs="Arial"/>
        </w:rPr>
        <w:t>-</w:t>
      </w:r>
      <w:r w:rsidRPr="00CE11CF">
        <w:rPr>
          <w:rFonts w:cs="Arial"/>
        </w:rPr>
        <w:t xml:space="preserve"> not all employers or students are the same. Using different combinations helps unlock opportunities that wouldn’t otherwise be available. Here’s why you might want to build placements using different elements:</w:t>
      </w:r>
    </w:p>
    <w:tbl>
      <w:tblPr>
        <w:tblStyle w:val="GridTable1Light-Accent6"/>
        <w:tblW w:w="0" w:type="auto"/>
        <w:tblLook w:val="04A0" w:firstRow="1" w:lastRow="0" w:firstColumn="1" w:lastColumn="0" w:noHBand="0" w:noVBand="1"/>
      </w:tblPr>
      <w:tblGrid>
        <w:gridCol w:w="3349"/>
        <w:gridCol w:w="3360"/>
        <w:gridCol w:w="3361"/>
      </w:tblGrid>
      <w:tr w:rsidR="00C873B1" w14:paraId="6AB8FE17" w14:textId="77777777" w:rsidTr="00DC3E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2" w:type="dxa"/>
            <w:shd w:val="clear" w:color="auto" w:fill="FC4420"/>
          </w:tcPr>
          <w:p w14:paraId="6EB7840E" w14:textId="77777777" w:rsidR="00C873B1" w:rsidRPr="00C873B1" w:rsidRDefault="00C873B1" w:rsidP="00DC3E60">
            <w:pPr>
              <w:pStyle w:val="ListBullet"/>
              <w:numPr>
                <w:ilvl w:val="0"/>
                <w:numId w:val="0"/>
              </w:numPr>
              <w:ind w:left="360" w:hanging="360"/>
              <w:rPr>
                <w:rFonts w:cs="Arial"/>
                <w:color w:val="FFFFFF" w:themeColor="background1"/>
              </w:rPr>
            </w:pPr>
            <w:r w:rsidRPr="00C873B1">
              <w:rPr>
                <w:rFonts w:cs="Arial"/>
                <w:color w:val="FFFFFF" w:themeColor="background1"/>
              </w:rPr>
              <w:t>Benefits for employers</w:t>
            </w:r>
          </w:p>
          <w:p w14:paraId="1151FD1B" w14:textId="77777777" w:rsidR="00C873B1" w:rsidRPr="00C873B1" w:rsidRDefault="00C873B1" w:rsidP="00DC3E60">
            <w:pPr>
              <w:rPr>
                <w:rFonts w:cs="Arial"/>
                <w:color w:val="FFFFFF" w:themeColor="background1"/>
              </w:rPr>
            </w:pPr>
          </w:p>
        </w:tc>
        <w:tc>
          <w:tcPr>
            <w:tcW w:w="3432" w:type="dxa"/>
            <w:shd w:val="clear" w:color="auto" w:fill="FC4420"/>
          </w:tcPr>
          <w:p w14:paraId="1167BD91" w14:textId="77777777" w:rsidR="00C873B1" w:rsidRPr="00C873B1" w:rsidRDefault="00C873B1" w:rsidP="00DC3E60">
            <w:pPr>
              <w:pStyle w:val="ListBullet"/>
              <w:numPr>
                <w:ilvl w:val="0"/>
                <w:numId w:val="0"/>
              </w:numPr>
              <w:ind w:left="360" w:hanging="360"/>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C873B1">
              <w:rPr>
                <w:rFonts w:cs="Arial"/>
                <w:color w:val="FFFFFF" w:themeColor="background1"/>
              </w:rPr>
              <w:t>Benefits for providers</w:t>
            </w:r>
          </w:p>
          <w:p w14:paraId="53E02576" w14:textId="77777777" w:rsidR="00C873B1" w:rsidRPr="00C873B1" w:rsidRDefault="00C873B1" w:rsidP="00DC3E60">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p>
        </w:tc>
        <w:tc>
          <w:tcPr>
            <w:tcW w:w="3432" w:type="dxa"/>
            <w:shd w:val="clear" w:color="auto" w:fill="FC4420"/>
          </w:tcPr>
          <w:p w14:paraId="590A0C23" w14:textId="77777777" w:rsidR="00C873B1" w:rsidRPr="00C873B1" w:rsidRDefault="00C873B1" w:rsidP="00DC3E60">
            <w:pPr>
              <w:pStyle w:val="ListBullet"/>
              <w:numPr>
                <w:ilvl w:val="0"/>
                <w:numId w:val="0"/>
              </w:num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C873B1">
              <w:rPr>
                <w:rFonts w:cs="Arial"/>
                <w:color w:val="FFFFFF" w:themeColor="background1"/>
              </w:rPr>
              <w:t>Benefits for students</w:t>
            </w:r>
          </w:p>
          <w:p w14:paraId="7180869C" w14:textId="77777777" w:rsidR="00C873B1" w:rsidRPr="00C873B1" w:rsidRDefault="00C873B1" w:rsidP="00DC3E60">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p>
        </w:tc>
      </w:tr>
      <w:tr w:rsidR="00C873B1" w14:paraId="0FA7A9F8" w14:textId="77777777" w:rsidTr="00DC3E60">
        <w:tc>
          <w:tcPr>
            <w:cnfStyle w:val="001000000000" w:firstRow="0" w:lastRow="0" w:firstColumn="1" w:lastColumn="0" w:oddVBand="0" w:evenVBand="0" w:oddHBand="0" w:evenHBand="0" w:firstRowFirstColumn="0" w:firstRowLastColumn="0" w:lastRowFirstColumn="0" w:lastRowLastColumn="0"/>
            <w:tcW w:w="3432" w:type="dxa"/>
          </w:tcPr>
          <w:p w14:paraId="4E1A15B4" w14:textId="77777777" w:rsidR="00C5025F" w:rsidRPr="00C5025F" w:rsidRDefault="00C5025F" w:rsidP="00C5025F">
            <w:pPr>
              <w:pStyle w:val="ListParagraph"/>
              <w:numPr>
                <w:ilvl w:val="0"/>
                <w:numId w:val="24"/>
              </w:numPr>
              <w:ind w:left="455" w:right="-92"/>
              <w:rPr>
                <w:rFonts w:cs="Arial"/>
                <w:b w:val="0"/>
                <w:bCs w:val="0"/>
              </w:rPr>
            </w:pPr>
            <w:r>
              <w:rPr>
                <w:rFonts w:cs="Arial"/>
                <w:b w:val="0"/>
                <w:bCs w:val="0"/>
              </w:rPr>
              <w:t>Reduced</w:t>
            </w:r>
            <w:r w:rsidR="00C873B1" w:rsidRPr="00C873B1">
              <w:rPr>
                <w:rFonts w:cs="Arial"/>
                <w:b w:val="0"/>
                <w:bCs w:val="0"/>
              </w:rPr>
              <w:t xml:space="preserve"> time commitment</w:t>
            </w:r>
          </w:p>
          <w:p w14:paraId="44D46FF7" w14:textId="77777777" w:rsidR="00C5025F" w:rsidRPr="00C5025F" w:rsidRDefault="00C873B1" w:rsidP="00C5025F">
            <w:pPr>
              <w:pStyle w:val="ListParagraph"/>
              <w:numPr>
                <w:ilvl w:val="0"/>
                <w:numId w:val="24"/>
              </w:numPr>
              <w:ind w:left="455" w:right="-92"/>
              <w:rPr>
                <w:rFonts w:cs="Arial"/>
                <w:b w:val="0"/>
                <w:bCs w:val="0"/>
              </w:rPr>
            </w:pPr>
            <w:r w:rsidRPr="00C5025F">
              <w:rPr>
                <w:rFonts w:cs="Arial"/>
                <w:b w:val="0"/>
                <w:bCs w:val="0"/>
              </w:rPr>
              <w:t>Remote participation</w:t>
            </w:r>
          </w:p>
          <w:p w14:paraId="66F0447C" w14:textId="77777777" w:rsidR="00C5025F" w:rsidRPr="00C5025F" w:rsidRDefault="00C873B1" w:rsidP="00C5025F">
            <w:pPr>
              <w:pStyle w:val="ListParagraph"/>
              <w:numPr>
                <w:ilvl w:val="0"/>
                <w:numId w:val="24"/>
              </w:numPr>
              <w:ind w:left="455" w:right="-92"/>
              <w:rPr>
                <w:rFonts w:cs="Arial"/>
                <w:b w:val="0"/>
                <w:bCs w:val="0"/>
              </w:rPr>
            </w:pPr>
            <w:r w:rsidRPr="00C5025F">
              <w:rPr>
                <w:rFonts w:cs="Arial"/>
                <w:b w:val="0"/>
                <w:bCs w:val="0"/>
              </w:rPr>
              <w:t>Shared responsibility</w:t>
            </w:r>
          </w:p>
          <w:p w14:paraId="38F5711F" w14:textId="35966D6A" w:rsidR="00C873B1" w:rsidRPr="00C5025F" w:rsidRDefault="00C873B1" w:rsidP="00C5025F">
            <w:pPr>
              <w:pStyle w:val="ListParagraph"/>
              <w:numPr>
                <w:ilvl w:val="0"/>
                <w:numId w:val="24"/>
              </w:numPr>
              <w:ind w:left="455" w:right="-92"/>
              <w:rPr>
                <w:rFonts w:cs="Arial"/>
                <w:b w:val="0"/>
                <w:bCs w:val="0"/>
              </w:rPr>
            </w:pPr>
            <w:r w:rsidRPr="00C5025F">
              <w:rPr>
                <w:rFonts w:cs="Arial"/>
                <w:b w:val="0"/>
                <w:bCs w:val="0"/>
              </w:rPr>
              <w:t>Specific business challenges solved</w:t>
            </w:r>
          </w:p>
        </w:tc>
        <w:tc>
          <w:tcPr>
            <w:tcW w:w="3432" w:type="dxa"/>
          </w:tcPr>
          <w:p w14:paraId="3B0186B5" w14:textId="77777777" w:rsidR="00C873B1" w:rsidRPr="00C5025F" w:rsidRDefault="00C873B1" w:rsidP="00C5025F">
            <w:pPr>
              <w:pStyle w:val="ListParagraph"/>
              <w:numPr>
                <w:ilvl w:val="0"/>
                <w:numId w:val="24"/>
              </w:numPr>
              <w:ind w:right="-92"/>
              <w:cnfStyle w:val="000000000000" w:firstRow="0" w:lastRow="0" w:firstColumn="0" w:lastColumn="0" w:oddVBand="0" w:evenVBand="0" w:oddHBand="0" w:evenHBand="0" w:firstRowFirstColumn="0" w:firstRowLastColumn="0" w:lastRowFirstColumn="0" w:lastRowLastColumn="0"/>
              <w:rPr>
                <w:rFonts w:cs="Arial"/>
              </w:rPr>
            </w:pPr>
            <w:r w:rsidRPr="00C5025F">
              <w:rPr>
                <w:rFonts w:cs="Arial"/>
              </w:rPr>
              <w:t>Increased capacity</w:t>
            </w:r>
          </w:p>
          <w:p w14:paraId="44999C6E" w14:textId="77777777" w:rsidR="00C873B1" w:rsidRPr="00C5025F" w:rsidRDefault="00C873B1" w:rsidP="00C5025F">
            <w:pPr>
              <w:pStyle w:val="ListParagraph"/>
              <w:numPr>
                <w:ilvl w:val="0"/>
                <w:numId w:val="24"/>
              </w:numPr>
              <w:ind w:right="-92"/>
              <w:cnfStyle w:val="000000000000" w:firstRow="0" w:lastRow="0" w:firstColumn="0" w:lastColumn="0" w:oddVBand="0" w:evenVBand="0" w:oddHBand="0" w:evenHBand="0" w:firstRowFirstColumn="0" w:firstRowLastColumn="0" w:lastRowFirstColumn="0" w:lastRowLastColumn="0"/>
              <w:rPr>
                <w:rFonts w:cs="Arial"/>
              </w:rPr>
            </w:pPr>
            <w:r w:rsidRPr="00C5025F">
              <w:rPr>
                <w:rFonts w:cs="Arial"/>
              </w:rPr>
              <w:t>Greater equity</w:t>
            </w:r>
          </w:p>
          <w:p w14:paraId="5412F729" w14:textId="77777777" w:rsidR="00C873B1" w:rsidRPr="00C5025F" w:rsidRDefault="00C873B1" w:rsidP="00C5025F">
            <w:pPr>
              <w:pStyle w:val="ListParagraph"/>
              <w:numPr>
                <w:ilvl w:val="0"/>
                <w:numId w:val="24"/>
              </w:numPr>
              <w:ind w:right="-92"/>
              <w:cnfStyle w:val="000000000000" w:firstRow="0" w:lastRow="0" w:firstColumn="0" w:lastColumn="0" w:oddVBand="0" w:evenVBand="0" w:oddHBand="0" w:evenHBand="0" w:firstRowFirstColumn="0" w:firstRowLastColumn="0" w:lastRowFirstColumn="0" w:lastRowLastColumn="0"/>
              <w:rPr>
                <w:rFonts w:cs="Arial"/>
              </w:rPr>
            </w:pPr>
            <w:r w:rsidRPr="00C5025F">
              <w:rPr>
                <w:rFonts w:cs="Arial"/>
              </w:rPr>
              <w:t>Wider curriculum fit</w:t>
            </w:r>
          </w:p>
          <w:p w14:paraId="76A0B981" w14:textId="77777777" w:rsidR="00C873B1" w:rsidRPr="00C5025F" w:rsidRDefault="00C873B1" w:rsidP="00C5025F">
            <w:pPr>
              <w:pStyle w:val="ListParagraph"/>
              <w:numPr>
                <w:ilvl w:val="0"/>
                <w:numId w:val="24"/>
              </w:numPr>
              <w:ind w:right="-92"/>
              <w:cnfStyle w:val="000000000000" w:firstRow="0" w:lastRow="0" w:firstColumn="0" w:lastColumn="0" w:oddVBand="0" w:evenVBand="0" w:oddHBand="0" w:evenHBand="0" w:firstRowFirstColumn="0" w:firstRowLastColumn="0" w:lastRowFirstColumn="0" w:lastRowLastColumn="0"/>
              <w:rPr>
                <w:rFonts w:cs="Arial"/>
              </w:rPr>
            </w:pPr>
            <w:r w:rsidRPr="00C5025F">
              <w:rPr>
                <w:rFonts w:cs="Arial"/>
              </w:rPr>
              <w:t>Reciprocal partnerships</w:t>
            </w:r>
          </w:p>
          <w:p w14:paraId="0EF9935C" w14:textId="77777777" w:rsidR="00C873B1" w:rsidRPr="00C873B1" w:rsidRDefault="00C873B1" w:rsidP="00DC3E60">
            <w:pPr>
              <w:cnfStyle w:val="000000000000" w:firstRow="0" w:lastRow="0" w:firstColumn="0" w:lastColumn="0" w:oddVBand="0" w:evenVBand="0" w:oddHBand="0" w:evenHBand="0" w:firstRowFirstColumn="0" w:firstRowLastColumn="0" w:lastRowFirstColumn="0" w:lastRowLastColumn="0"/>
              <w:rPr>
                <w:rFonts w:cs="Arial"/>
              </w:rPr>
            </w:pPr>
          </w:p>
        </w:tc>
        <w:tc>
          <w:tcPr>
            <w:tcW w:w="3432" w:type="dxa"/>
          </w:tcPr>
          <w:p w14:paraId="1796EFE4" w14:textId="77777777" w:rsidR="00C873B1" w:rsidRPr="00C5025F" w:rsidRDefault="00C873B1" w:rsidP="00C5025F">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rFonts w:cs="Arial"/>
              </w:rPr>
            </w:pPr>
            <w:r w:rsidRPr="00C5025F">
              <w:rPr>
                <w:rFonts w:cs="Arial"/>
              </w:rPr>
              <w:t>Richer experience</w:t>
            </w:r>
          </w:p>
          <w:p w14:paraId="147DAB8A" w14:textId="77777777" w:rsidR="00C873B1" w:rsidRPr="00C5025F" w:rsidRDefault="00C873B1" w:rsidP="00C5025F">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rFonts w:cs="Arial"/>
              </w:rPr>
            </w:pPr>
            <w:r w:rsidRPr="00C5025F">
              <w:rPr>
                <w:rFonts w:cs="Arial"/>
              </w:rPr>
              <w:t>More inclusive</w:t>
            </w:r>
          </w:p>
          <w:p w14:paraId="342A78F8" w14:textId="77777777" w:rsidR="00C873B1" w:rsidRPr="00C5025F" w:rsidRDefault="00C873B1" w:rsidP="00C5025F">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rFonts w:cs="Arial"/>
              </w:rPr>
            </w:pPr>
            <w:r w:rsidRPr="00C5025F">
              <w:rPr>
                <w:rFonts w:cs="Arial"/>
              </w:rPr>
              <w:t>Better engagement</w:t>
            </w:r>
          </w:p>
          <w:p w14:paraId="5C6F7F89" w14:textId="77777777" w:rsidR="00C873B1" w:rsidRPr="00C5025F" w:rsidRDefault="00C873B1" w:rsidP="00C5025F">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rFonts w:cs="Arial"/>
              </w:rPr>
            </w:pPr>
            <w:r w:rsidRPr="00C5025F">
              <w:rPr>
                <w:rFonts w:cs="Arial"/>
              </w:rPr>
              <w:t>Career insight</w:t>
            </w:r>
          </w:p>
          <w:p w14:paraId="3C7C8283" w14:textId="77777777" w:rsidR="00C873B1" w:rsidRPr="00C873B1" w:rsidRDefault="00C873B1" w:rsidP="00DC3E60">
            <w:pPr>
              <w:cnfStyle w:val="000000000000" w:firstRow="0" w:lastRow="0" w:firstColumn="0" w:lastColumn="0" w:oddVBand="0" w:evenVBand="0" w:oddHBand="0" w:evenHBand="0" w:firstRowFirstColumn="0" w:firstRowLastColumn="0" w:lastRowFirstColumn="0" w:lastRowLastColumn="0"/>
              <w:rPr>
                <w:rFonts w:cs="Arial"/>
              </w:rPr>
            </w:pPr>
          </w:p>
        </w:tc>
      </w:tr>
    </w:tbl>
    <w:p w14:paraId="189B60E6" w14:textId="44C84736" w:rsidR="00C873B1" w:rsidRPr="00617A02" w:rsidRDefault="00C873B1" w:rsidP="00C873B1">
      <w:pPr>
        <w:pStyle w:val="Heading3"/>
        <w:rPr>
          <w:rFonts w:ascii="Arial" w:hAnsi="Arial" w:cs="Arial"/>
          <w:color w:val="FC4420"/>
          <w:sz w:val="24"/>
          <w:szCs w:val="24"/>
        </w:rPr>
      </w:pPr>
      <w:r w:rsidRPr="00617A02">
        <w:rPr>
          <w:rFonts w:ascii="Arial" w:hAnsi="Arial" w:cs="Arial"/>
          <w:color w:val="FC4420"/>
          <w:sz w:val="24"/>
          <w:szCs w:val="24"/>
        </w:rPr>
        <w:t xml:space="preserve">Industry Placement </w:t>
      </w:r>
      <w:r w:rsidR="00617A02">
        <w:rPr>
          <w:rFonts w:ascii="Arial" w:hAnsi="Arial" w:cs="Arial"/>
          <w:color w:val="FC4420"/>
          <w:sz w:val="24"/>
          <w:szCs w:val="24"/>
        </w:rPr>
        <w:t>r</w:t>
      </w:r>
      <w:r w:rsidRPr="00617A02">
        <w:rPr>
          <w:rFonts w:ascii="Arial" w:hAnsi="Arial" w:cs="Arial"/>
          <w:color w:val="FC4420"/>
          <w:sz w:val="24"/>
          <w:szCs w:val="24"/>
        </w:rPr>
        <w:t>equirements</w:t>
      </w:r>
    </w:p>
    <w:p w14:paraId="37A3501D" w14:textId="1E56CD16" w:rsidR="00D24CEB" w:rsidRPr="00617A02" w:rsidRDefault="00C873B1" w:rsidP="0027192F">
      <w:pPr>
        <w:spacing w:before="100" w:beforeAutospacing="1" w:after="100" w:afterAutospacing="1" w:line="240" w:lineRule="auto"/>
        <w:rPr>
          <w:rFonts w:eastAsia="Times New Roman" w:cs="Arial"/>
          <w:lang w:val="en-GB" w:eastAsia="en-GB"/>
        </w:rPr>
      </w:pPr>
      <w:r w:rsidRPr="00617A02">
        <w:rPr>
          <w:rFonts w:eastAsia="Times New Roman" w:cs="Arial"/>
          <w:lang w:val="en-GB" w:eastAsia="en-GB"/>
        </w:rPr>
        <w:t xml:space="preserve">The </w:t>
      </w:r>
      <w:hyperlink r:id="rId12" w:history="1">
        <w:r w:rsidRPr="00617A02">
          <w:rPr>
            <w:rStyle w:val="Hyperlink"/>
            <w:rFonts w:eastAsia="Times New Roman" w:cs="Arial"/>
            <w:i/>
            <w:iCs/>
            <w:lang w:val="en-GB" w:eastAsia="en-GB"/>
          </w:rPr>
          <w:t>T Level Industry Placement Delivery Guidance</w:t>
        </w:r>
      </w:hyperlink>
      <w:r w:rsidRPr="00617A02">
        <w:rPr>
          <w:rFonts w:eastAsia="Times New Roman" w:cs="Arial"/>
          <w:lang w:val="en-GB" w:eastAsia="en-GB"/>
        </w:rPr>
        <w:t xml:space="preserve"> is the key reference document for anyone involved in planning or delivering industry placements. It sets out the core expectations, flexibilities, and quality principles that ensure placements provide meaningful, real-world experience aligned to each student’s technical qualification.</w:t>
      </w:r>
    </w:p>
    <w:p w14:paraId="0AC6738B" w14:textId="7A4B4D8C" w:rsidR="00D24CEB" w:rsidRPr="00617A02" w:rsidRDefault="00A40872" w:rsidP="00D24CEB">
      <w:pPr>
        <w:pStyle w:val="Heading2"/>
        <w:rPr>
          <w:rFonts w:ascii="Arial" w:hAnsi="Arial" w:cs="Arial"/>
          <w:color w:val="FC4420"/>
          <w:sz w:val="24"/>
          <w:szCs w:val="24"/>
        </w:rPr>
      </w:pPr>
      <w:r w:rsidRPr="00617A02">
        <w:rPr>
          <w:rFonts w:ascii="Arial" w:hAnsi="Arial" w:cs="Arial"/>
          <w:color w:val="FC4420"/>
          <w:sz w:val="24"/>
          <w:szCs w:val="24"/>
        </w:rPr>
        <w:t>Creative combinations: Building placements</w:t>
      </w:r>
    </w:p>
    <w:p w14:paraId="712A6CFC" w14:textId="43F5F8F8" w:rsidR="005A0BC2" w:rsidRPr="00617A02" w:rsidRDefault="005A0BC2" w:rsidP="005A0BC2">
      <w:pPr>
        <w:spacing w:before="100" w:beforeAutospacing="1" w:after="100" w:afterAutospacing="1" w:line="240" w:lineRule="auto"/>
        <w:rPr>
          <w:rFonts w:eastAsia="Times New Roman" w:cs="Arial"/>
          <w:lang w:val="en-GB" w:eastAsia="en-GB"/>
        </w:rPr>
      </w:pPr>
      <w:r w:rsidRPr="00617A02">
        <w:rPr>
          <w:rFonts w:eastAsia="Times New Roman" w:cs="Arial"/>
          <w:lang w:val="en-GB" w:eastAsia="en-GB"/>
        </w:rPr>
        <w:t>Using the flexibilities set out in the T Level industry placement guidance allows providers to design placements that are both meaningful and manageable - tailored to the needs of students, employers, and local contexts. These flexibilities can support access, increase participation, and enable smaller or specialist employers to get involved where they otherwise might not.</w:t>
      </w:r>
    </w:p>
    <w:p w14:paraId="43D9AE78" w14:textId="1518AB08" w:rsidR="005A0BC2" w:rsidRPr="00617A02" w:rsidRDefault="005A0BC2" w:rsidP="005A0BC2">
      <w:pPr>
        <w:spacing w:before="100" w:beforeAutospacing="1" w:after="100" w:afterAutospacing="1" w:line="240" w:lineRule="auto"/>
        <w:rPr>
          <w:rFonts w:eastAsia="Times New Roman" w:cs="Arial"/>
          <w:lang w:val="en-GB" w:eastAsia="en-GB"/>
        </w:rPr>
      </w:pPr>
      <w:r w:rsidRPr="00617A02">
        <w:rPr>
          <w:rFonts w:eastAsia="Times New Roman" w:cs="Arial"/>
          <w:lang w:val="en-GB" w:eastAsia="en-GB"/>
        </w:rPr>
        <w:t>Combining different approaches such as work tasters, remote hours, small team projects, or multiple employers opens up a wide range of creative delivery models. For example, students might begin with short tasters across different settings before settling into a main placement, or complete part of their hours through a provider-hosted project that leads into a live brief with an employer.</w:t>
      </w:r>
    </w:p>
    <w:p w14:paraId="543AAAEC" w14:textId="341055CB" w:rsidR="005A0BC2" w:rsidRPr="00617A02" w:rsidRDefault="005A0BC2" w:rsidP="005A0BC2">
      <w:pPr>
        <w:spacing w:before="100" w:beforeAutospacing="1" w:after="100" w:afterAutospacing="1" w:line="240" w:lineRule="auto"/>
        <w:rPr>
          <w:rFonts w:eastAsia="Times New Roman" w:cs="Arial"/>
          <w:lang w:val="en-GB" w:eastAsia="en-GB"/>
        </w:rPr>
      </w:pPr>
      <w:r w:rsidRPr="00617A02">
        <w:rPr>
          <w:rFonts w:eastAsia="Times New Roman" w:cs="Arial"/>
          <w:lang w:val="en-GB" w:eastAsia="en-GB"/>
        </w:rPr>
        <w:t xml:space="preserve">However, not all flexibilities can be layered on top of each other, and the total amount of remote working must always remain within permitted thresholds: </w:t>
      </w:r>
      <w:r w:rsidRPr="00617A02">
        <w:rPr>
          <w:rFonts w:eastAsia="Times New Roman" w:cs="Arial"/>
          <w:b/>
          <w:bCs/>
          <w:lang w:val="en-GB" w:eastAsia="en-GB"/>
        </w:rPr>
        <w:t>up to 20% of total placement hours for most T Levels, or up to 50% for Digital T Levels</w:t>
      </w:r>
      <w:r w:rsidRPr="00617A02">
        <w:rPr>
          <w:rFonts w:eastAsia="Times New Roman" w:cs="Arial"/>
          <w:lang w:val="en-GB" w:eastAsia="en-GB"/>
        </w:rPr>
        <w:t>. It’s important that each model remains aligned to the core principles of high-quality placements, ensuring that students apply their technical knowledge in real-world settings and are supported in their progression into skilled work.</w:t>
      </w:r>
    </w:p>
    <w:p w14:paraId="69BBF440" w14:textId="77777777" w:rsidR="005A0BC2" w:rsidRPr="00617A02" w:rsidRDefault="005A0BC2" w:rsidP="005A0BC2">
      <w:pPr>
        <w:spacing w:before="100" w:beforeAutospacing="1" w:after="100" w:afterAutospacing="1" w:line="240" w:lineRule="auto"/>
        <w:rPr>
          <w:rFonts w:eastAsia="Times New Roman" w:cs="Arial"/>
          <w:lang w:val="en-GB" w:eastAsia="en-GB"/>
        </w:rPr>
      </w:pPr>
      <w:r w:rsidRPr="00617A02">
        <w:rPr>
          <w:rFonts w:eastAsia="Times New Roman" w:cs="Arial"/>
          <w:lang w:val="en-GB" w:eastAsia="en-GB"/>
        </w:rPr>
        <w:t>Careful planning and collaboration with employers will help ensure that combinations are used effectively, ethically, and in a way that enhances the overall learning experience.</w:t>
      </w:r>
    </w:p>
    <w:p w14:paraId="1CAB4944" w14:textId="49C73099" w:rsidR="005A0BC2" w:rsidRPr="00617A02" w:rsidRDefault="00D82CBA" w:rsidP="00820618">
      <w:pPr>
        <w:pStyle w:val="p1"/>
        <w:rPr>
          <w:color w:val="auto"/>
          <w:sz w:val="22"/>
          <w:szCs w:val="22"/>
        </w:rPr>
      </w:pPr>
      <w:r w:rsidRPr="00617A02">
        <w:rPr>
          <w:sz w:val="22"/>
          <w:szCs w:val="22"/>
        </w:rPr>
        <w:lastRenderedPageBreak/>
        <w:t xml:space="preserve">The </w:t>
      </w:r>
      <w:hyperlink r:id="rId13" w:history="1">
        <w:r w:rsidRPr="00617A02">
          <w:rPr>
            <w:rStyle w:val="Hyperlink"/>
            <w:sz w:val="22"/>
            <w:szCs w:val="22"/>
          </w:rPr>
          <w:t>delivery examples guidance document</w:t>
        </w:r>
      </w:hyperlink>
      <w:r w:rsidRPr="00617A02">
        <w:rPr>
          <w:sz w:val="22"/>
          <w:szCs w:val="22"/>
        </w:rPr>
        <w:t xml:space="preserve"> </w:t>
      </w:r>
      <w:r w:rsidR="00C31D2C" w:rsidRPr="00617A02">
        <w:rPr>
          <w:color w:val="auto"/>
          <w:sz w:val="22"/>
          <w:szCs w:val="22"/>
        </w:rPr>
        <w:t>shows how different delivery approaches can be used—and combined—across a range of T Levels to create high-quality industry placements. We’ve also included three example placement models below, each with a simple visual to show how the different approaches add up to the required 315 hours.</w:t>
      </w:r>
    </w:p>
    <w:p w14:paraId="7F608B0D" w14:textId="77777777" w:rsidR="00820618" w:rsidRDefault="00820618" w:rsidP="00820618">
      <w:pPr>
        <w:pStyle w:val="p1"/>
        <w:rPr>
          <w:color w:val="auto"/>
          <w:sz w:val="24"/>
          <w:szCs w:val="24"/>
        </w:rPr>
      </w:pPr>
    </w:p>
    <w:p w14:paraId="26975B9B" w14:textId="77777777" w:rsidR="00820618" w:rsidRPr="00820618" w:rsidRDefault="00820618" w:rsidP="00820618">
      <w:pPr>
        <w:pStyle w:val="p1"/>
        <w:rPr>
          <w:color w:val="auto"/>
          <w:sz w:val="24"/>
          <w:szCs w:val="24"/>
        </w:rPr>
      </w:pPr>
    </w:p>
    <w:p w14:paraId="3F587CA2" w14:textId="65AAD7D9" w:rsidR="00820618" w:rsidRPr="00820618" w:rsidRDefault="005A0BC2" w:rsidP="00820618">
      <w:pPr>
        <w:rPr>
          <w:rFonts w:cs="Arial"/>
          <w:noProof/>
        </w:rPr>
      </w:pPr>
      <w:r>
        <w:rPr>
          <w:rFonts w:cs="Arial"/>
          <w:noProof/>
        </w:rPr>
        <w:drawing>
          <wp:inline distT="0" distB="0" distL="0" distR="0" wp14:anchorId="44F7C58A" wp14:editId="09E2836A">
            <wp:extent cx="6400158" cy="3257893"/>
            <wp:effectExtent l="0" t="0" r="1270" b="6350"/>
            <wp:docPr id="1620316192"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316192" name="Picture 2" descr="A screenshot of a computer&#10;&#10;AI-generated content may be incorrect."/>
                    <pic:cNvPicPr/>
                  </pic:nvPicPr>
                  <pic:blipFill rotWithShape="1">
                    <a:blip r:embed="rId14"/>
                    <a:srcRect b="6589"/>
                    <a:stretch>
                      <a:fillRect/>
                    </a:stretch>
                  </pic:blipFill>
                  <pic:spPr bwMode="auto">
                    <a:xfrm>
                      <a:off x="0" y="0"/>
                      <a:ext cx="6400800" cy="3258220"/>
                    </a:xfrm>
                    <a:prstGeom prst="rect">
                      <a:avLst/>
                    </a:prstGeom>
                    <a:ln>
                      <a:noFill/>
                    </a:ln>
                    <a:extLst>
                      <a:ext uri="{53640926-AAD7-44D8-BBD7-CCE9431645EC}">
                        <a14:shadowObscured xmlns:a14="http://schemas.microsoft.com/office/drawing/2010/main"/>
                      </a:ext>
                    </a:extLst>
                  </pic:spPr>
                </pic:pic>
              </a:graphicData>
            </a:graphic>
          </wp:inline>
        </w:drawing>
      </w:r>
    </w:p>
    <w:p w14:paraId="575DEA23" w14:textId="26DAAAFB" w:rsidR="005A0BC2" w:rsidRDefault="00D24CEB" w:rsidP="003C2405">
      <w:r>
        <w:t xml:space="preserve"> </w:t>
      </w:r>
      <w:r w:rsidR="003C2405">
        <w:rPr>
          <w:noProof/>
        </w:rPr>
        <w:drawing>
          <wp:inline distT="0" distB="0" distL="0" distR="0" wp14:anchorId="783E267B" wp14:editId="7D8D58F7">
            <wp:extent cx="6358248" cy="3597370"/>
            <wp:effectExtent l="0" t="0" r="5080" b="0"/>
            <wp:docPr id="2121839987" name="Picture 1" descr="A screenshot of a web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839987" name="Picture 1" descr="A screenshot of a web page&#10;&#10;AI-generated content may be incorrect."/>
                    <pic:cNvPicPr/>
                  </pic:nvPicPr>
                  <pic:blipFill rotWithShape="1">
                    <a:blip r:embed="rId15"/>
                    <a:srcRect l="1059" b="5387"/>
                    <a:stretch>
                      <a:fillRect/>
                    </a:stretch>
                  </pic:blipFill>
                  <pic:spPr bwMode="auto">
                    <a:xfrm>
                      <a:off x="0" y="0"/>
                      <a:ext cx="6378301" cy="3608716"/>
                    </a:xfrm>
                    <a:prstGeom prst="rect">
                      <a:avLst/>
                    </a:prstGeom>
                    <a:ln>
                      <a:noFill/>
                    </a:ln>
                    <a:extLst>
                      <a:ext uri="{53640926-AAD7-44D8-BBD7-CCE9431645EC}">
                        <a14:shadowObscured xmlns:a14="http://schemas.microsoft.com/office/drawing/2010/main"/>
                      </a:ext>
                    </a:extLst>
                  </pic:spPr>
                </pic:pic>
              </a:graphicData>
            </a:graphic>
          </wp:inline>
        </w:drawing>
      </w:r>
    </w:p>
    <w:p w14:paraId="016F3115" w14:textId="21BA92A0" w:rsidR="003C2405" w:rsidRPr="003C2405" w:rsidRDefault="003C2405" w:rsidP="003C2405">
      <w:r>
        <w:rPr>
          <w:noProof/>
        </w:rPr>
        <w:lastRenderedPageBreak/>
        <w:drawing>
          <wp:inline distT="0" distB="0" distL="0" distR="0" wp14:anchorId="0D97CD1C" wp14:editId="5C8E2030">
            <wp:extent cx="6400800" cy="3653155"/>
            <wp:effectExtent l="0" t="0" r="0" b="4445"/>
            <wp:docPr id="1854643964" name="Picture 3"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643964" name="Picture 3" descr="A screenshot of a computer screen&#10;&#10;AI-generated content may be incorrect."/>
                    <pic:cNvPicPr/>
                  </pic:nvPicPr>
                  <pic:blipFill>
                    <a:blip r:embed="rId16"/>
                    <a:stretch>
                      <a:fillRect/>
                    </a:stretch>
                  </pic:blipFill>
                  <pic:spPr>
                    <a:xfrm>
                      <a:off x="0" y="0"/>
                      <a:ext cx="6400800" cy="3653155"/>
                    </a:xfrm>
                    <a:prstGeom prst="rect">
                      <a:avLst/>
                    </a:prstGeom>
                  </pic:spPr>
                </pic:pic>
              </a:graphicData>
            </a:graphic>
          </wp:inline>
        </w:drawing>
      </w:r>
    </w:p>
    <w:p w14:paraId="617105BD" w14:textId="100E2AFB" w:rsidR="007720B5" w:rsidRPr="00617A02" w:rsidRDefault="007720B5" w:rsidP="007720B5">
      <w:pPr>
        <w:pStyle w:val="Heading2"/>
        <w:rPr>
          <w:rFonts w:ascii="Arial" w:hAnsi="Arial" w:cs="Arial"/>
          <w:color w:val="FC4420"/>
          <w:sz w:val="24"/>
          <w:szCs w:val="24"/>
        </w:rPr>
      </w:pPr>
      <w:r w:rsidRPr="00617A02">
        <w:rPr>
          <w:rFonts w:ascii="Arial" w:hAnsi="Arial" w:cs="Arial"/>
          <w:color w:val="FC4420"/>
          <w:sz w:val="24"/>
          <w:szCs w:val="24"/>
        </w:rPr>
        <w:t>Risks and considerations when using placement flexibilities</w:t>
      </w:r>
    </w:p>
    <w:p w14:paraId="47F60DC2" w14:textId="77777777" w:rsidR="007720B5" w:rsidRPr="007720B5" w:rsidRDefault="007720B5" w:rsidP="007720B5">
      <w:pPr>
        <w:pStyle w:val="p3"/>
        <w:rPr>
          <w:rFonts w:ascii="Arial" w:hAnsi="Arial" w:cs="Arial"/>
          <w:sz w:val="22"/>
          <w:szCs w:val="22"/>
        </w:rPr>
      </w:pPr>
      <w:r w:rsidRPr="007720B5">
        <w:rPr>
          <w:rFonts w:ascii="Arial" w:hAnsi="Arial" w:cs="Arial"/>
          <w:sz w:val="22"/>
          <w:szCs w:val="22"/>
        </w:rPr>
        <w:t>While the flexibility within the T Level industry placement guidance allows for creative and inclusive models, it’s important to plan carefully to mitigate any unintended consequences. Below are some of the key risks and considerations to be aware of when designing flexible placements:</w:t>
      </w:r>
    </w:p>
    <w:p w14:paraId="0E4FD8A7" w14:textId="5EF031F9" w:rsidR="007720B5" w:rsidRPr="007720B5" w:rsidRDefault="007720B5" w:rsidP="007720B5">
      <w:pPr>
        <w:pStyle w:val="p1"/>
        <w:spacing w:before="100" w:beforeAutospacing="1" w:after="100" w:afterAutospacing="1"/>
        <w:rPr>
          <w:sz w:val="22"/>
          <w:szCs w:val="22"/>
        </w:rPr>
      </w:pPr>
      <w:r w:rsidRPr="007720B5">
        <w:rPr>
          <w:b/>
          <w:bCs/>
          <w:sz w:val="22"/>
          <w:szCs w:val="22"/>
        </w:rPr>
        <w:t>Overcomplication of models:</w:t>
      </w:r>
      <w:r>
        <w:rPr>
          <w:b/>
          <w:bCs/>
          <w:sz w:val="22"/>
          <w:szCs w:val="22"/>
        </w:rPr>
        <w:t xml:space="preserve"> </w:t>
      </w:r>
      <w:r w:rsidRPr="007720B5">
        <w:rPr>
          <w:sz w:val="22"/>
          <w:szCs w:val="22"/>
        </w:rPr>
        <w:t>Combining too many flexibilities can create overly complex placements that are difficult to manage or explain to employers and students. Simplicity and clarity should remain a priority.</w:t>
      </w:r>
    </w:p>
    <w:p w14:paraId="677D5345" w14:textId="60AF1DF9" w:rsidR="007720B5" w:rsidRPr="007720B5" w:rsidRDefault="007720B5" w:rsidP="007720B5">
      <w:pPr>
        <w:pStyle w:val="p1"/>
        <w:spacing w:before="100" w:beforeAutospacing="1" w:after="100" w:afterAutospacing="1"/>
        <w:rPr>
          <w:sz w:val="22"/>
          <w:szCs w:val="22"/>
        </w:rPr>
      </w:pPr>
      <w:r w:rsidRPr="007720B5">
        <w:rPr>
          <w:b/>
          <w:bCs/>
          <w:sz w:val="22"/>
          <w:szCs w:val="22"/>
        </w:rPr>
        <w:t>Placement fragmentation:</w:t>
      </w:r>
      <w:r>
        <w:rPr>
          <w:b/>
          <w:bCs/>
          <w:sz w:val="22"/>
          <w:szCs w:val="22"/>
        </w:rPr>
        <w:t xml:space="preserve"> </w:t>
      </w:r>
      <w:r w:rsidRPr="007720B5">
        <w:rPr>
          <w:sz w:val="22"/>
          <w:szCs w:val="22"/>
        </w:rPr>
        <w:t>Spreading hours across multiple settings (e.g. tasters, projects, several employers) may reduce continuity for the student, limiting opportunities for deeper skill development and relationship building.</w:t>
      </w:r>
    </w:p>
    <w:p w14:paraId="18E7AB44" w14:textId="449C4EF6" w:rsidR="007720B5" w:rsidRPr="007720B5" w:rsidRDefault="007720B5" w:rsidP="007720B5">
      <w:pPr>
        <w:pStyle w:val="p1"/>
        <w:spacing w:before="100" w:beforeAutospacing="1" w:after="100" w:afterAutospacing="1"/>
        <w:rPr>
          <w:sz w:val="22"/>
          <w:szCs w:val="22"/>
        </w:rPr>
      </w:pPr>
      <w:r w:rsidRPr="007720B5">
        <w:rPr>
          <w:b/>
          <w:bCs/>
          <w:sz w:val="22"/>
          <w:szCs w:val="22"/>
        </w:rPr>
        <w:t>Supervision and oversight:</w:t>
      </w:r>
      <w:r>
        <w:rPr>
          <w:b/>
          <w:bCs/>
          <w:sz w:val="22"/>
          <w:szCs w:val="22"/>
        </w:rPr>
        <w:t xml:space="preserve"> </w:t>
      </w:r>
      <w:r w:rsidRPr="007720B5">
        <w:rPr>
          <w:sz w:val="22"/>
          <w:szCs w:val="22"/>
        </w:rPr>
        <w:t>Ensuring clear, consistent supervision across all elements of a flexible placement can be challenging – particularly if students are completing hours remotely or at multiple sites.</w:t>
      </w:r>
    </w:p>
    <w:p w14:paraId="05E1FC0F" w14:textId="532D60F8" w:rsidR="007720B5" w:rsidRPr="007720B5" w:rsidRDefault="007720B5" w:rsidP="007720B5">
      <w:pPr>
        <w:pStyle w:val="p1"/>
        <w:spacing w:before="100" w:beforeAutospacing="1" w:after="100" w:afterAutospacing="1"/>
        <w:rPr>
          <w:sz w:val="22"/>
          <w:szCs w:val="22"/>
        </w:rPr>
      </w:pPr>
      <w:r w:rsidRPr="007720B5">
        <w:rPr>
          <w:b/>
          <w:bCs/>
          <w:sz w:val="22"/>
          <w:szCs w:val="22"/>
        </w:rPr>
        <w:t>Remote work risks:</w:t>
      </w:r>
      <w:r>
        <w:rPr>
          <w:b/>
          <w:bCs/>
          <w:sz w:val="22"/>
          <w:szCs w:val="22"/>
        </w:rPr>
        <w:t xml:space="preserve"> </w:t>
      </w:r>
      <w:r w:rsidRPr="007720B5">
        <w:rPr>
          <w:sz w:val="22"/>
          <w:szCs w:val="22"/>
        </w:rPr>
        <w:t>While remote work offers convenience and accessibility, it may reduce exposure to workplace culture and direct employer interaction. It’s important that remote tasks are well-structured, purposeful, and regularly reviewed.</w:t>
      </w:r>
    </w:p>
    <w:p w14:paraId="1EAF36AC" w14:textId="7D6BEB9F" w:rsidR="007720B5" w:rsidRPr="001106FF" w:rsidRDefault="007720B5" w:rsidP="001106FF">
      <w:pPr>
        <w:rPr>
          <w:rFonts w:eastAsia="Times New Roman" w:cs="Arial"/>
          <w:color w:val="0C0C0C"/>
          <w:lang w:val="en-GB" w:eastAsia="en-GB"/>
        </w:rPr>
      </w:pPr>
      <w:r w:rsidRPr="007720B5">
        <w:rPr>
          <w:rFonts w:cs="Arial"/>
          <w:b/>
          <w:bCs/>
        </w:rPr>
        <w:t>Misalignment with learning goals:</w:t>
      </w:r>
      <w:r>
        <w:rPr>
          <w:b/>
          <w:bCs/>
        </w:rPr>
        <w:t xml:space="preserve"> </w:t>
      </w:r>
      <w:r w:rsidR="001106FF" w:rsidRPr="001106FF">
        <w:rPr>
          <w:rFonts w:eastAsia="Times New Roman" w:cs="Arial"/>
          <w:color w:val="0C0C0C"/>
          <w:lang w:val="en-GB" w:eastAsia="en-GB"/>
        </w:rPr>
        <w:t>Some flexible arrangements may fall short of student expectations – particularly where learners have a clear interest in a specific occupation – or may not provide enough opportunities to apply their technical knowledge meaningfully. It’s essential that placements remain aligned to the T Level’s learning outcomes and support each student’s progression.</w:t>
      </w:r>
    </w:p>
    <w:p w14:paraId="6C79B40D" w14:textId="193F060B" w:rsidR="007720B5" w:rsidRPr="007720B5" w:rsidRDefault="007720B5" w:rsidP="007720B5">
      <w:pPr>
        <w:pStyle w:val="p1"/>
        <w:spacing w:before="100" w:beforeAutospacing="1" w:after="100" w:afterAutospacing="1"/>
        <w:rPr>
          <w:sz w:val="22"/>
          <w:szCs w:val="22"/>
        </w:rPr>
      </w:pPr>
      <w:r w:rsidRPr="007720B5">
        <w:rPr>
          <w:b/>
          <w:bCs/>
          <w:sz w:val="22"/>
          <w:szCs w:val="22"/>
        </w:rPr>
        <w:lastRenderedPageBreak/>
        <w:t>Compliance and audit risk:</w:t>
      </w:r>
      <w:r>
        <w:rPr>
          <w:b/>
          <w:bCs/>
          <w:sz w:val="22"/>
          <w:szCs w:val="22"/>
        </w:rPr>
        <w:t xml:space="preserve"> </w:t>
      </w:r>
      <w:r w:rsidRPr="007720B5">
        <w:rPr>
          <w:sz w:val="22"/>
          <w:szCs w:val="22"/>
        </w:rPr>
        <w:t>When using blended models, there is a greater need to maintain accurate tracking and documentation to demonstrate compliance with guidance, remote hour limits, and supervision arrangements.</w:t>
      </w:r>
    </w:p>
    <w:p w14:paraId="324AC636" w14:textId="0A7912C4" w:rsidR="001106FF" w:rsidRPr="001106FF" w:rsidRDefault="007720B5" w:rsidP="001106FF">
      <w:pPr>
        <w:pStyle w:val="p1"/>
        <w:spacing w:before="100" w:beforeAutospacing="1" w:after="100" w:afterAutospacing="1"/>
        <w:rPr>
          <w:sz w:val="22"/>
          <w:szCs w:val="22"/>
        </w:rPr>
      </w:pPr>
      <w:r w:rsidRPr="007720B5">
        <w:rPr>
          <w:b/>
          <w:bCs/>
          <w:sz w:val="22"/>
          <w:szCs w:val="22"/>
        </w:rPr>
        <w:t>Employer confusion or uncertainty:</w:t>
      </w:r>
      <w:r>
        <w:rPr>
          <w:b/>
          <w:bCs/>
          <w:sz w:val="22"/>
          <w:szCs w:val="22"/>
        </w:rPr>
        <w:t xml:space="preserve"> </w:t>
      </w:r>
      <w:r w:rsidRPr="007720B5">
        <w:rPr>
          <w:sz w:val="22"/>
          <w:szCs w:val="22"/>
        </w:rPr>
        <w:t>If employers are unfamiliar with flexible models (e.g. small team projects or remote work), they may be hesitant to engage. Providers should invest in clear communication and supportive materials.</w:t>
      </w:r>
    </w:p>
    <w:p w14:paraId="17F1B825" w14:textId="645E63D9" w:rsidR="00793186" w:rsidRDefault="00A40872">
      <w:pPr>
        <w:pStyle w:val="Heading2"/>
        <w:rPr>
          <w:rFonts w:ascii="Arial" w:hAnsi="Arial" w:cs="Arial"/>
          <w:color w:val="FC4420"/>
          <w:sz w:val="24"/>
          <w:szCs w:val="24"/>
        </w:rPr>
      </w:pPr>
      <w:r w:rsidRPr="00617A02">
        <w:rPr>
          <w:rFonts w:ascii="Arial" w:hAnsi="Arial" w:cs="Arial"/>
          <w:color w:val="FC4420"/>
          <w:sz w:val="24"/>
          <w:szCs w:val="24"/>
        </w:rPr>
        <w:t>Helping employers say ye</w:t>
      </w:r>
      <w:r w:rsidR="00617A02">
        <w:rPr>
          <w:rFonts w:ascii="Arial" w:hAnsi="Arial" w:cs="Arial"/>
          <w:color w:val="FC4420"/>
          <w:sz w:val="24"/>
          <w:szCs w:val="24"/>
        </w:rPr>
        <w:t>s</w:t>
      </w:r>
    </w:p>
    <w:p w14:paraId="1118F58A" w14:textId="77777777" w:rsidR="00617A02" w:rsidRPr="00617A02" w:rsidRDefault="00617A02" w:rsidP="00617A02"/>
    <w:p w14:paraId="2B6D2987" w14:textId="47BE93BE" w:rsidR="001106FF" w:rsidRPr="001106FF" w:rsidRDefault="001106FF" w:rsidP="001106FF">
      <w:pPr>
        <w:spacing w:after="0" w:line="240" w:lineRule="auto"/>
        <w:rPr>
          <w:rFonts w:eastAsia="Times New Roman" w:cs="Arial"/>
          <w:color w:val="0E0E0E"/>
          <w:lang w:val="en-GB" w:eastAsia="en-GB"/>
        </w:rPr>
      </w:pPr>
      <w:r w:rsidRPr="001106FF">
        <w:rPr>
          <w:rFonts w:eastAsia="Times New Roman" w:cs="Arial"/>
          <w:color w:val="0E0E0E"/>
          <w:lang w:val="en-GB" w:eastAsia="en-GB"/>
        </w:rPr>
        <w:t xml:space="preserve">There’s more than one way to get involved. These flexible approaches make it easier for employers of all sizes to offer meaningful T Level placement opportunities </w:t>
      </w:r>
      <w:r w:rsidR="007C2D38">
        <w:rPr>
          <w:rFonts w:eastAsia="Times New Roman" w:cs="Arial"/>
          <w:color w:val="0E0E0E"/>
          <w:lang w:val="en-GB" w:eastAsia="en-GB"/>
        </w:rPr>
        <w:t>-</w:t>
      </w:r>
      <w:r w:rsidRPr="001106FF">
        <w:rPr>
          <w:rFonts w:eastAsia="Times New Roman" w:cs="Arial"/>
          <w:color w:val="0E0E0E"/>
          <w:lang w:val="en-GB" w:eastAsia="en-GB"/>
        </w:rPr>
        <w:t xml:space="preserve"> even if a full placement isn’t possible right now.</w:t>
      </w:r>
    </w:p>
    <w:p w14:paraId="2F3214E5" w14:textId="77777777" w:rsidR="00793186" w:rsidRPr="001106FF" w:rsidRDefault="00A40872" w:rsidP="001106FF">
      <w:pPr>
        <w:pStyle w:val="IntenseQuote"/>
        <w:pBdr>
          <w:bottom w:val="none" w:sz="0" w:space="0" w:color="auto"/>
        </w:pBdr>
        <w:rPr>
          <w:rFonts w:cs="Arial"/>
          <w:color w:val="auto"/>
        </w:rPr>
      </w:pPr>
      <w:r w:rsidRPr="001106FF">
        <w:rPr>
          <w:rFonts w:cs="Arial"/>
          <w:color w:val="auto"/>
        </w:rPr>
        <w:t>“Not ready for a full placement? Start with a work taster.”</w:t>
      </w:r>
    </w:p>
    <w:p w14:paraId="2F586A89" w14:textId="77777777" w:rsidR="00793186" w:rsidRPr="001106FF" w:rsidRDefault="00A40872" w:rsidP="001106FF">
      <w:pPr>
        <w:pStyle w:val="IntenseQuote"/>
        <w:pBdr>
          <w:bottom w:val="none" w:sz="0" w:space="0" w:color="auto"/>
        </w:pBdr>
        <w:rPr>
          <w:rFonts w:cs="Arial"/>
          <w:color w:val="auto"/>
        </w:rPr>
      </w:pPr>
      <w:r w:rsidRPr="001106FF">
        <w:rPr>
          <w:rFonts w:cs="Arial"/>
          <w:color w:val="auto"/>
        </w:rPr>
        <w:t>“Can’t host on-site? Remote projects count.”</w:t>
      </w:r>
    </w:p>
    <w:p w14:paraId="6DFBDF56" w14:textId="77777777" w:rsidR="00793186" w:rsidRPr="001106FF" w:rsidRDefault="00A40872" w:rsidP="001106FF">
      <w:pPr>
        <w:pStyle w:val="IntenseQuote"/>
        <w:pBdr>
          <w:bottom w:val="none" w:sz="0" w:space="0" w:color="auto"/>
        </w:pBdr>
        <w:rPr>
          <w:rFonts w:cs="Arial"/>
          <w:color w:val="auto"/>
        </w:rPr>
      </w:pPr>
      <w:r w:rsidRPr="001106FF">
        <w:rPr>
          <w:rFonts w:cs="Arial"/>
          <w:color w:val="auto"/>
        </w:rPr>
        <w:t>“Got a real challenge to solve? Set up a team project.”</w:t>
      </w:r>
    </w:p>
    <w:p w14:paraId="6F12E7CF" w14:textId="01126198" w:rsidR="001106FF" w:rsidRPr="001106FF" w:rsidRDefault="00A40872" w:rsidP="001106FF">
      <w:pPr>
        <w:pStyle w:val="IntenseQuote"/>
        <w:pBdr>
          <w:bottom w:val="none" w:sz="0" w:space="0" w:color="auto"/>
        </w:pBdr>
        <w:rPr>
          <w:rFonts w:cs="Arial"/>
          <w:color w:val="auto"/>
        </w:rPr>
      </w:pPr>
      <w:r w:rsidRPr="001106FF">
        <w:rPr>
          <w:rFonts w:cs="Arial"/>
          <w:color w:val="auto"/>
        </w:rPr>
        <w:t>“Need help on something short-term? Share with another employer.”</w:t>
      </w:r>
    </w:p>
    <w:sectPr w:rsidR="001106FF" w:rsidRPr="001106FF" w:rsidSect="005A0BC2">
      <w:headerReference w:type="default" r:id="rId17"/>
      <w:pgSz w:w="12240" w:h="15840"/>
      <w:pgMar w:top="1748" w:right="1080" w:bottom="115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54419" w14:textId="77777777" w:rsidR="00E97F46" w:rsidRDefault="00E97F46" w:rsidP="00CE11CF">
      <w:pPr>
        <w:spacing w:after="0" w:line="240" w:lineRule="auto"/>
      </w:pPr>
      <w:r>
        <w:separator/>
      </w:r>
    </w:p>
  </w:endnote>
  <w:endnote w:type="continuationSeparator" w:id="0">
    <w:p w14:paraId="54308A2B" w14:textId="77777777" w:rsidR="00E97F46" w:rsidRDefault="00E97F46" w:rsidP="00CE1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C2AAD" w14:textId="77777777" w:rsidR="00E97F46" w:rsidRDefault="00E97F46" w:rsidP="00CE11CF">
      <w:pPr>
        <w:spacing w:after="0" w:line="240" w:lineRule="auto"/>
      </w:pPr>
      <w:r>
        <w:separator/>
      </w:r>
    </w:p>
  </w:footnote>
  <w:footnote w:type="continuationSeparator" w:id="0">
    <w:p w14:paraId="5520D03A" w14:textId="77777777" w:rsidR="00E97F46" w:rsidRDefault="00E97F46" w:rsidP="00CE11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B7C9D" w14:textId="0610F97F" w:rsidR="00CE11CF" w:rsidRDefault="00CE11CF">
    <w:pPr>
      <w:pStyle w:val="Header"/>
    </w:pPr>
    <w:r>
      <w:rPr>
        <w:noProof/>
      </w:rPr>
      <w:drawing>
        <wp:inline distT="0" distB="0" distL="0" distR="0" wp14:anchorId="544035B5" wp14:editId="3E593FEA">
          <wp:extent cx="1699939" cy="556351"/>
          <wp:effectExtent l="0" t="0" r="0" b="0"/>
          <wp:docPr id="1331129279"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29279" name="Picture 1" descr="A black background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6745" cy="5716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EBC3CCA"/>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641F22"/>
    <w:multiLevelType w:val="hybridMultilevel"/>
    <w:tmpl w:val="0B24B37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06D71EA"/>
    <w:multiLevelType w:val="multilevel"/>
    <w:tmpl w:val="14FC5506"/>
    <w:lvl w:ilvl="0">
      <w:start w:val="1"/>
      <w:numFmt w:val="decimal"/>
      <w:lvlText w:val="%1."/>
      <w:lvlJc w:val="left"/>
      <w:pPr>
        <w:tabs>
          <w:tab w:val="num" w:pos="720"/>
        </w:tabs>
        <w:ind w:left="720" w:hanging="360"/>
      </w:pPr>
    </w:lvl>
    <w:lvl w:ilvl="1">
      <w:start w:val="1"/>
      <w:numFmt w:val="bullet"/>
      <w:lvlText w:val="o"/>
      <w:lvlJc w:val="left"/>
      <w:pPr>
        <w:tabs>
          <w:tab w:val="num" w:pos="786"/>
        </w:tabs>
        <w:ind w:left="786"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0246ED"/>
    <w:multiLevelType w:val="hybridMultilevel"/>
    <w:tmpl w:val="85547D02"/>
    <w:lvl w:ilvl="0" w:tplc="52D62DB4">
      <w:start w:val="1"/>
      <w:numFmt w:val="bullet"/>
      <w:lvlText w:val=""/>
      <w:lvlJc w:val="left"/>
      <w:pPr>
        <w:ind w:left="284" w:firstLine="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5B5E49"/>
    <w:multiLevelType w:val="hybridMultilevel"/>
    <w:tmpl w:val="BF383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5F01A8"/>
    <w:multiLevelType w:val="hybridMultilevel"/>
    <w:tmpl w:val="CE701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592BDA"/>
    <w:multiLevelType w:val="multilevel"/>
    <w:tmpl w:val="220EE0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310731"/>
    <w:multiLevelType w:val="multilevel"/>
    <w:tmpl w:val="3010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46459B"/>
    <w:multiLevelType w:val="multilevel"/>
    <w:tmpl w:val="225A204A"/>
    <w:styleLink w:val="CurrentList1"/>
    <w:lvl w:ilvl="0">
      <w:start w:val="1"/>
      <w:numFmt w:val="bullet"/>
      <w:lvlText w:val=""/>
      <w:lvlJc w:val="left"/>
      <w:pPr>
        <w:ind w:left="0" w:firstLine="0"/>
      </w:pPr>
      <w:rPr>
        <w:rFonts w:ascii="Symbol" w:hAnsi="Symbol" w:hint="default"/>
      </w:rPr>
    </w:lvl>
    <w:lvl w:ilvl="1">
      <w:start w:val="1"/>
      <w:numFmt w:val="bullet"/>
      <w:lvlText w:val="o"/>
      <w:lvlJc w:val="left"/>
      <w:pPr>
        <w:ind w:left="1156" w:hanging="360"/>
      </w:pPr>
      <w:rPr>
        <w:rFonts w:ascii="Courier New" w:hAnsi="Courier New" w:hint="default"/>
      </w:rPr>
    </w:lvl>
    <w:lvl w:ilvl="2">
      <w:start w:val="1"/>
      <w:numFmt w:val="bullet"/>
      <w:lvlText w:val=""/>
      <w:lvlJc w:val="left"/>
      <w:pPr>
        <w:ind w:left="1876" w:hanging="360"/>
      </w:pPr>
      <w:rPr>
        <w:rFonts w:ascii="Wingdings" w:hAnsi="Wingdings" w:hint="default"/>
      </w:rPr>
    </w:lvl>
    <w:lvl w:ilvl="3">
      <w:start w:val="1"/>
      <w:numFmt w:val="bullet"/>
      <w:lvlText w:val=""/>
      <w:lvlJc w:val="left"/>
      <w:pPr>
        <w:ind w:left="2596" w:hanging="360"/>
      </w:pPr>
      <w:rPr>
        <w:rFonts w:ascii="Symbol" w:hAnsi="Symbol" w:hint="default"/>
      </w:rPr>
    </w:lvl>
    <w:lvl w:ilvl="4">
      <w:start w:val="1"/>
      <w:numFmt w:val="bullet"/>
      <w:lvlText w:val="o"/>
      <w:lvlJc w:val="left"/>
      <w:pPr>
        <w:ind w:left="3316" w:hanging="360"/>
      </w:pPr>
      <w:rPr>
        <w:rFonts w:ascii="Courier New" w:hAnsi="Courier New" w:hint="default"/>
      </w:rPr>
    </w:lvl>
    <w:lvl w:ilvl="5">
      <w:start w:val="1"/>
      <w:numFmt w:val="bullet"/>
      <w:lvlText w:val=""/>
      <w:lvlJc w:val="left"/>
      <w:pPr>
        <w:ind w:left="4036" w:hanging="360"/>
      </w:pPr>
      <w:rPr>
        <w:rFonts w:ascii="Wingdings" w:hAnsi="Wingdings" w:hint="default"/>
      </w:rPr>
    </w:lvl>
    <w:lvl w:ilvl="6">
      <w:start w:val="1"/>
      <w:numFmt w:val="bullet"/>
      <w:lvlText w:val=""/>
      <w:lvlJc w:val="left"/>
      <w:pPr>
        <w:ind w:left="4756" w:hanging="360"/>
      </w:pPr>
      <w:rPr>
        <w:rFonts w:ascii="Symbol" w:hAnsi="Symbol" w:hint="default"/>
      </w:rPr>
    </w:lvl>
    <w:lvl w:ilvl="7">
      <w:start w:val="1"/>
      <w:numFmt w:val="bullet"/>
      <w:lvlText w:val="o"/>
      <w:lvlJc w:val="left"/>
      <w:pPr>
        <w:ind w:left="5476" w:hanging="360"/>
      </w:pPr>
      <w:rPr>
        <w:rFonts w:ascii="Courier New" w:hAnsi="Courier New" w:hint="default"/>
      </w:rPr>
    </w:lvl>
    <w:lvl w:ilvl="8">
      <w:start w:val="1"/>
      <w:numFmt w:val="bullet"/>
      <w:lvlText w:val=""/>
      <w:lvlJc w:val="left"/>
      <w:pPr>
        <w:ind w:left="6196" w:hanging="360"/>
      </w:pPr>
      <w:rPr>
        <w:rFonts w:ascii="Wingdings" w:hAnsi="Wingdings" w:hint="default"/>
      </w:rPr>
    </w:lvl>
  </w:abstractNum>
  <w:abstractNum w:abstractNumId="17" w15:restartNumberingAfterBreak="0">
    <w:nsid w:val="50B15AD7"/>
    <w:multiLevelType w:val="hybridMultilevel"/>
    <w:tmpl w:val="58F05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DA06CB"/>
    <w:multiLevelType w:val="hybridMultilevel"/>
    <w:tmpl w:val="225A204A"/>
    <w:lvl w:ilvl="0" w:tplc="52D62DB4">
      <w:start w:val="1"/>
      <w:numFmt w:val="bullet"/>
      <w:lvlText w:val=""/>
      <w:lvlJc w:val="left"/>
      <w:pPr>
        <w:ind w:left="0" w:firstLine="0"/>
      </w:pPr>
      <w:rPr>
        <w:rFonts w:ascii="Symbol" w:hAnsi="Symbol" w:hint="default"/>
      </w:rPr>
    </w:lvl>
    <w:lvl w:ilvl="1" w:tplc="08090003" w:tentative="1">
      <w:start w:val="1"/>
      <w:numFmt w:val="bullet"/>
      <w:lvlText w:val="o"/>
      <w:lvlJc w:val="left"/>
      <w:pPr>
        <w:ind w:left="1156" w:hanging="360"/>
      </w:pPr>
      <w:rPr>
        <w:rFonts w:ascii="Courier New" w:hAnsi="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9" w15:restartNumberingAfterBreak="0">
    <w:nsid w:val="6972048A"/>
    <w:multiLevelType w:val="multilevel"/>
    <w:tmpl w:val="A38A51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6"/>
      <w:numFmt w:val="bullet"/>
      <w:lvlText w:val="•"/>
      <w:lvlJc w:val="left"/>
      <w:pPr>
        <w:ind w:left="2160" w:hanging="360"/>
      </w:pPr>
      <w:rPr>
        <w:rFonts w:ascii="Arial" w:eastAsiaTheme="minorEastAsia"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F76CAF"/>
    <w:multiLevelType w:val="hybridMultilevel"/>
    <w:tmpl w:val="9C16769C"/>
    <w:lvl w:ilvl="0" w:tplc="52D62DB4">
      <w:start w:val="1"/>
      <w:numFmt w:val="bullet"/>
      <w:lvlText w:val=""/>
      <w:lvlJc w:val="left"/>
      <w:pPr>
        <w:ind w:left="284" w:firstLine="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8C120F"/>
    <w:multiLevelType w:val="multilevel"/>
    <w:tmpl w:val="00B453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0B7812"/>
    <w:multiLevelType w:val="multilevel"/>
    <w:tmpl w:val="14FC55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9E6CF2"/>
    <w:multiLevelType w:val="hybridMultilevel"/>
    <w:tmpl w:val="16144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4556473">
    <w:abstractNumId w:val="8"/>
  </w:num>
  <w:num w:numId="2" w16cid:durableId="237256429">
    <w:abstractNumId w:val="6"/>
  </w:num>
  <w:num w:numId="3" w16cid:durableId="1195268260">
    <w:abstractNumId w:val="5"/>
  </w:num>
  <w:num w:numId="4" w16cid:durableId="1439792330">
    <w:abstractNumId w:val="4"/>
  </w:num>
  <w:num w:numId="5" w16cid:durableId="573247587">
    <w:abstractNumId w:val="7"/>
  </w:num>
  <w:num w:numId="6" w16cid:durableId="485588153">
    <w:abstractNumId w:val="3"/>
  </w:num>
  <w:num w:numId="7" w16cid:durableId="492337245">
    <w:abstractNumId w:val="2"/>
  </w:num>
  <w:num w:numId="8" w16cid:durableId="1046753653">
    <w:abstractNumId w:val="1"/>
  </w:num>
  <w:num w:numId="9" w16cid:durableId="332496403">
    <w:abstractNumId w:val="0"/>
  </w:num>
  <w:num w:numId="10" w16cid:durableId="530340257">
    <w:abstractNumId w:val="22"/>
  </w:num>
  <w:num w:numId="11" w16cid:durableId="2007709582">
    <w:abstractNumId w:val="14"/>
  </w:num>
  <w:num w:numId="12" w16cid:durableId="131875794">
    <w:abstractNumId w:val="9"/>
  </w:num>
  <w:num w:numId="13" w16cid:durableId="2121876797">
    <w:abstractNumId w:val="19"/>
  </w:num>
  <w:num w:numId="14" w16cid:durableId="1172333291">
    <w:abstractNumId w:val="10"/>
  </w:num>
  <w:num w:numId="15" w16cid:durableId="748618086">
    <w:abstractNumId w:val="17"/>
  </w:num>
  <w:num w:numId="16" w16cid:durableId="1470976744">
    <w:abstractNumId w:val="13"/>
  </w:num>
  <w:num w:numId="17" w16cid:durableId="1504710347">
    <w:abstractNumId w:val="12"/>
  </w:num>
  <w:num w:numId="18" w16cid:durableId="1482622600">
    <w:abstractNumId w:val="11"/>
  </w:num>
  <w:num w:numId="19" w16cid:durableId="553085651">
    <w:abstractNumId w:val="20"/>
  </w:num>
  <w:num w:numId="20" w16cid:durableId="1960070471">
    <w:abstractNumId w:val="18"/>
  </w:num>
  <w:num w:numId="21" w16cid:durableId="421069698">
    <w:abstractNumId w:val="16"/>
  </w:num>
  <w:num w:numId="22" w16cid:durableId="1816948783">
    <w:abstractNumId w:val="15"/>
  </w:num>
  <w:num w:numId="23" w16cid:durableId="938223417">
    <w:abstractNumId w:val="21"/>
  </w:num>
  <w:num w:numId="24" w16cid:durableId="176156517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06FF"/>
    <w:rsid w:val="0015074B"/>
    <w:rsid w:val="001F65AD"/>
    <w:rsid w:val="0027192F"/>
    <w:rsid w:val="00276887"/>
    <w:rsid w:val="00293270"/>
    <w:rsid w:val="0029639D"/>
    <w:rsid w:val="002E1AC4"/>
    <w:rsid w:val="00326F90"/>
    <w:rsid w:val="00344B31"/>
    <w:rsid w:val="0039115F"/>
    <w:rsid w:val="003C2405"/>
    <w:rsid w:val="003D15A6"/>
    <w:rsid w:val="005A0BC2"/>
    <w:rsid w:val="005A6685"/>
    <w:rsid w:val="005D2A09"/>
    <w:rsid w:val="006165D0"/>
    <w:rsid w:val="00617A02"/>
    <w:rsid w:val="006211E7"/>
    <w:rsid w:val="00632179"/>
    <w:rsid w:val="0064152A"/>
    <w:rsid w:val="00662FAE"/>
    <w:rsid w:val="006903A5"/>
    <w:rsid w:val="0070093B"/>
    <w:rsid w:val="007049FB"/>
    <w:rsid w:val="007720B5"/>
    <w:rsid w:val="00793186"/>
    <w:rsid w:val="007C2D38"/>
    <w:rsid w:val="00820618"/>
    <w:rsid w:val="00852A7C"/>
    <w:rsid w:val="008C30BC"/>
    <w:rsid w:val="00910C37"/>
    <w:rsid w:val="0094018C"/>
    <w:rsid w:val="009D1BED"/>
    <w:rsid w:val="00A15992"/>
    <w:rsid w:val="00A40872"/>
    <w:rsid w:val="00AA1D8D"/>
    <w:rsid w:val="00AA4A7B"/>
    <w:rsid w:val="00B14DD4"/>
    <w:rsid w:val="00B47730"/>
    <w:rsid w:val="00B6419C"/>
    <w:rsid w:val="00C31D2C"/>
    <w:rsid w:val="00C5025F"/>
    <w:rsid w:val="00C7128B"/>
    <w:rsid w:val="00C873B1"/>
    <w:rsid w:val="00CB0664"/>
    <w:rsid w:val="00CD414E"/>
    <w:rsid w:val="00CE11CF"/>
    <w:rsid w:val="00D24CEB"/>
    <w:rsid w:val="00D82CBA"/>
    <w:rsid w:val="00E66DDC"/>
    <w:rsid w:val="00E97F46"/>
    <w:rsid w:val="00EF0212"/>
    <w:rsid w:val="00F2125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CD43BB"/>
  <w14:defaultImageDpi w14:val="300"/>
  <w15:docId w15:val="{45F09F5E-8165-3747-9021-725848E2D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1">
    <w:name w:val="p1"/>
    <w:basedOn w:val="Normal"/>
    <w:rsid w:val="00CE11CF"/>
    <w:pPr>
      <w:spacing w:after="0" w:line="240" w:lineRule="auto"/>
    </w:pPr>
    <w:rPr>
      <w:rFonts w:eastAsia="Times New Roman" w:cs="Arial"/>
      <w:color w:val="0C0C0C"/>
      <w:sz w:val="18"/>
      <w:szCs w:val="18"/>
      <w:lang w:val="en-GB" w:eastAsia="en-GB"/>
    </w:rPr>
  </w:style>
  <w:style w:type="character" w:customStyle="1" w:styleId="s1">
    <w:name w:val="s1"/>
    <w:basedOn w:val="DefaultParagraphFont"/>
    <w:rsid w:val="00CE11CF"/>
  </w:style>
  <w:style w:type="character" w:customStyle="1" w:styleId="s2">
    <w:name w:val="s2"/>
    <w:basedOn w:val="DefaultParagraphFont"/>
    <w:rsid w:val="00CE11CF"/>
  </w:style>
  <w:style w:type="character" w:customStyle="1" w:styleId="apple-converted-space">
    <w:name w:val="apple-converted-space"/>
    <w:basedOn w:val="DefaultParagraphFont"/>
    <w:rsid w:val="00CE11CF"/>
  </w:style>
  <w:style w:type="paragraph" w:customStyle="1" w:styleId="p3">
    <w:name w:val="p3"/>
    <w:basedOn w:val="Normal"/>
    <w:rsid w:val="00CE11C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styleId="ListTable3-Accent6">
    <w:name w:val="List Table 3 Accent 6"/>
    <w:basedOn w:val="TableNormal"/>
    <w:uiPriority w:val="48"/>
    <w:rsid w:val="00C873B1"/>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PlainTable3">
    <w:name w:val="Plain Table 3"/>
    <w:basedOn w:val="TableNormal"/>
    <w:uiPriority w:val="99"/>
    <w:rsid w:val="00C873B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6">
    <w:name w:val="Grid Table 1 Light Accent 6"/>
    <w:basedOn w:val="TableNormal"/>
    <w:uiPriority w:val="46"/>
    <w:rsid w:val="00C873B1"/>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numbering" w:customStyle="1" w:styleId="CurrentList1">
    <w:name w:val="Current List1"/>
    <w:uiPriority w:val="99"/>
    <w:rsid w:val="00C873B1"/>
    <w:pPr>
      <w:numPr>
        <w:numId w:val="21"/>
      </w:numPr>
    </w:pPr>
  </w:style>
  <w:style w:type="character" w:styleId="Hyperlink">
    <w:name w:val="Hyperlink"/>
    <w:basedOn w:val="DefaultParagraphFont"/>
    <w:uiPriority w:val="99"/>
    <w:unhideWhenUsed/>
    <w:rsid w:val="00C873B1"/>
    <w:rPr>
      <w:color w:val="0000FF" w:themeColor="hyperlink"/>
      <w:u w:val="single"/>
    </w:rPr>
  </w:style>
  <w:style w:type="character" w:styleId="UnresolvedMention">
    <w:name w:val="Unresolved Mention"/>
    <w:basedOn w:val="DefaultParagraphFont"/>
    <w:uiPriority w:val="99"/>
    <w:semiHidden/>
    <w:unhideWhenUsed/>
    <w:rsid w:val="00C873B1"/>
    <w:rPr>
      <w:color w:val="605E5C"/>
      <w:shd w:val="clear" w:color="auto" w:fill="E1DFDD"/>
    </w:rPr>
  </w:style>
  <w:style w:type="table" w:styleId="PlainTable5">
    <w:name w:val="Plain Table 5"/>
    <w:basedOn w:val="TableNormal"/>
    <w:uiPriority w:val="99"/>
    <w:rsid w:val="00D24CE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2">
    <w:name w:val="p2"/>
    <w:basedOn w:val="Normal"/>
    <w:rsid w:val="005A0BC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C7128B"/>
    <w:rPr>
      <w:sz w:val="16"/>
      <w:szCs w:val="16"/>
    </w:rPr>
  </w:style>
  <w:style w:type="paragraph" w:styleId="CommentText">
    <w:name w:val="annotation text"/>
    <w:basedOn w:val="Normal"/>
    <w:link w:val="CommentTextChar"/>
    <w:uiPriority w:val="99"/>
    <w:unhideWhenUsed/>
    <w:rsid w:val="00C7128B"/>
    <w:pPr>
      <w:spacing w:line="240" w:lineRule="auto"/>
    </w:pPr>
    <w:rPr>
      <w:sz w:val="20"/>
      <w:szCs w:val="20"/>
    </w:rPr>
  </w:style>
  <w:style w:type="character" w:customStyle="1" w:styleId="CommentTextChar">
    <w:name w:val="Comment Text Char"/>
    <w:basedOn w:val="DefaultParagraphFont"/>
    <w:link w:val="CommentText"/>
    <w:uiPriority w:val="99"/>
    <w:rsid w:val="00C7128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7128B"/>
    <w:rPr>
      <w:b/>
      <w:bCs/>
    </w:rPr>
  </w:style>
  <w:style w:type="character" w:customStyle="1" w:styleId="CommentSubjectChar">
    <w:name w:val="Comment Subject Char"/>
    <w:basedOn w:val="CommentTextChar"/>
    <w:link w:val="CommentSubject"/>
    <w:uiPriority w:val="99"/>
    <w:semiHidden/>
    <w:rsid w:val="00C7128B"/>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87315">
      <w:bodyDiv w:val="1"/>
      <w:marLeft w:val="0"/>
      <w:marRight w:val="0"/>
      <w:marTop w:val="0"/>
      <w:marBottom w:val="0"/>
      <w:divBdr>
        <w:top w:val="none" w:sz="0" w:space="0" w:color="auto"/>
        <w:left w:val="none" w:sz="0" w:space="0" w:color="auto"/>
        <w:bottom w:val="none" w:sz="0" w:space="0" w:color="auto"/>
        <w:right w:val="none" w:sz="0" w:space="0" w:color="auto"/>
      </w:divBdr>
    </w:div>
    <w:div w:id="371879394">
      <w:bodyDiv w:val="1"/>
      <w:marLeft w:val="0"/>
      <w:marRight w:val="0"/>
      <w:marTop w:val="0"/>
      <w:marBottom w:val="0"/>
      <w:divBdr>
        <w:top w:val="none" w:sz="0" w:space="0" w:color="auto"/>
        <w:left w:val="none" w:sz="0" w:space="0" w:color="auto"/>
        <w:bottom w:val="none" w:sz="0" w:space="0" w:color="auto"/>
        <w:right w:val="none" w:sz="0" w:space="0" w:color="auto"/>
      </w:divBdr>
    </w:div>
    <w:div w:id="437457672">
      <w:bodyDiv w:val="1"/>
      <w:marLeft w:val="0"/>
      <w:marRight w:val="0"/>
      <w:marTop w:val="0"/>
      <w:marBottom w:val="0"/>
      <w:divBdr>
        <w:top w:val="none" w:sz="0" w:space="0" w:color="auto"/>
        <w:left w:val="none" w:sz="0" w:space="0" w:color="auto"/>
        <w:bottom w:val="none" w:sz="0" w:space="0" w:color="auto"/>
        <w:right w:val="none" w:sz="0" w:space="0" w:color="auto"/>
      </w:divBdr>
      <w:divsChild>
        <w:div w:id="182728221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25698960">
      <w:bodyDiv w:val="1"/>
      <w:marLeft w:val="0"/>
      <w:marRight w:val="0"/>
      <w:marTop w:val="0"/>
      <w:marBottom w:val="0"/>
      <w:divBdr>
        <w:top w:val="none" w:sz="0" w:space="0" w:color="auto"/>
        <w:left w:val="none" w:sz="0" w:space="0" w:color="auto"/>
        <w:bottom w:val="none" w:sz="0" w:space="0" w:color="auto"/>
        <w:right w:val="none" w:sz="0" w:space="0" w:color="auto"/>
      </w:divBdr>
    </w:div>
    <w:div w:id="1157041322">
      <w:bodyDiv w:val="1"/>
      <w:marLeft w:val="0"/>
      <w:marRight w:val="0"/>
      <w:marTop w:val="0"/>
      <w:marBottom w:val="0"/>
      <w:divBdr>
        <w:top w:val="none" w:sz="0" w:space="0" w:color="auto"/>
        <w:left w:val="none" w:sz="0" w:space="0" w:color="auto"/>
        <w:bottom w:val="none" w:sz="0" w:space="0" w:color="auto"/>
        <w:right w:val="none" w:sz="0" w:space="0" w:color="auto"/>
      </w:divBdr>
    </w:div>
    <w:div w:id="1583182537">
      <w:bodyDiv w:val="1"/>
      <w:marLeft w:val="0"/>
      <w:marRight w:val="0"/>
      <w:marTop w:val="0"/>
      <w:marBottom w:val="0"/>
      <w:divBdr>
        <w:top w:val="none" w:sz="0" w:space="0" w:color="auto"/>
        <w:left w:val="none" w:sz="0" w:space="0" w:color="auto"/>
        <w:bottom w:val="none" w:sz="0" w:space="0" w:color="auto"/>
        <w:right w:val="none" w:sz="0" w:space="0" w:color="auto"/>
      </w:divBdr>
    </w:div>
    <w:div w:id="1816876277">
      <w:bodyDiv w:val="1"/>
      <w:marLeft w:val="0"/>
      <w:marRight w:val="0"/>
      <w:marTop w:val="0"/>
      <w:marBottom w:val="0"/>
      <w:divBdr>
        <w:top w:val="none" w:sz="0" w:space="0" w:color="auto"/>
        <w:left w:val="none" w:sz="0" w:space="0" w:color="auto"/>
        <w:bottom w:val="none" w:sz="0" w:space="0" w:color="auto"/>
        <w:right w:val="none" w:sz="0" w:space="0" w:color="auto"/>
      </w:divBdr>
    </w:div>
    <w:div w:id="1924142059">
      <w:bodyDiv w:val="1"/>
      <w:marLeft w:val="0"/>
      <w:marRight w:val="0"/>
      <w:marTop w:val="0"/>
      <w:marBottom w:val="0"/>
      <w:divBdr>
        <w:top w:val="none" w:sz="0" w:space="0" w:color="auto"/>
        <w:left w:val="none" w:sz="0" w:space="0" w:color="auto"/>
        <w:bottom w:val="none" w:sz="0" w:space="0" w:color="auto"/>
        <w:right w:val="none" w:sz="0" w:space="0" w:color="auto"/>
      </w:divBdr>
    </w:div>
    <w:div w:id="1978145425">
      <w:bodyDiv w:val="1"/>
      <w:marLeft w:val="0"/>
      <w:marRight w:val="0"/>
      <w:marTop w:val="0"/>
      <w:marBottom w:val="0"/>
      <w:divBdr>
        <w:top w:val="none" w:sz="0" w:space="0" w:color="auto"/>
        <w:left w:val="none" w:sz="0" w:space="0" w:color="auto"/>
        <w:bottom w:val="none" w:sz="0" w:space="0" w:color="auto"/>
        <w:right w:val="none" w:sz="0" w:space="0" w:color="auto"/>
      </w:divBdr>
      <w:divsChild>
        <w:div w:id="19881196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56652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pport.tlevels.gov.uk/hc/en-gb/articles/24603704418706-New-resources-for-delivering-industry-placement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t-level-industry-placements-delivery-guidanc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t-level-industry-placements-delivery-guidance"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4" ma:contentTypeDescription="Create a new document." ma:contentTypeScope="" ma:versionID="5ad39137901209e0482e7546935faeb2">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af86122f2e3e758737d2168d456e5155"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0BC42A8C-EEEA-45AE-88F0-FF1D002BA4D2}">
  <ds:schemaRefs>
    <ds:schemaRef ds:uri="http://schemas.microsoft.com/sharepoint/v3/contenttype/forms"/>
  </ds:schemaRefs>
</ds:datastoreItem>
</file>

<file path=customXml/itemProps3.xml><?xml version="1.0" encoding="utf-8"?>
<ds:datastoreItem xmlns:ds="http://schemas.openxmlformats.org/officeDocument/2006/customXml" ds:itemID="{047B8950-CDDC-4520-8B65-A5BEEA2DBC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EB53FB-0F76-4410-AD94-3C1E76185D17}">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docMetadata/LabelInfo.xml><?xml version="1.0" encoding="utf-8"?>
<clbl:labelList xmlns:clbl="http://schemas.microsoft.com/office/2020/mipLabelMetadata">
  <clbl:label id="{fad277c9-c60a-4da1-b5f3-b3b8b34a82f9}" enabled="0" method="" siteId="{fad277c9-c60a-4da1-b5f3-b3b8b34a82f9}"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858</Words>
  <Characters>4893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Nicki McGee</cp:lastModifiedBy>
  <cp:revision>18</cp:revision>
  <dcterms:created xsi:type="dcterms:W3CDTF">2025-06-25T10:13:00Z</dcterms:created>
  <dcterms:modified xsi:type="dcterms:W3CDTF">2025-06-26T19:25:00Z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