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78E1C" w14:textId="4565C83B" w:rsidR="00C54F3B" w:rsidRDefault="00C54F3B" w:rsidP="00825CE9">
      <w:pPr>
        <w:spacing w:before="120" w:after="120"/>
        <w:rPr>
          <w:rFonts w:ascii="Arial" w:hAnsi="Arial" w:cs="Arial"/>
          <w:b/>
          <w:bCs/>
          <w:i/>
          <w:caps/>
          <w:color w:val="FC4421"/>
          <w:sz w:val="36"/>
          <w:szCs w:val="36"/>
        </w:rPr>
      </w:pPr>
      <w:bookmarkStart w:id="0" w:name="_Toc153354836"/>
      <w:r>
        <w:rPr>
          <w:rFonts w:ascii="Arial" w:hAnsi="Arial" w:cs="Arial"/>
          <w:b/>
          <w:bCs/>
          <w:i/>
          <w:caps/>
          <w:color w:val="FC4421"/>
          <w:sz w:val="36"/>
          <w:szCs w:val="36"/>
        </w:rPr>
        <w:t>objection handling</w:t>
      </w:r>
    </w:p>
    <w:p w14:paraId="6C438AC8" w14:textId="52F94805" w:rsidR="00C54F3B" w:rsidRPr="00AD77C9" w:rsidRDefault="002B5ECE" w:rsidP="765EF231">
      <w:pPr>
        <w:spacing w:before="120" w:after="120"/>
        <w:rPr>
          <w:rFonts w:ascii="Arial" w:hAnsi="Arial" w:cs="Arial"/>
          <w:b/>
          <w:bCs/>
          <w:i/>
          <w:iCs/>
          <w:caps/>
          <w:color w:val="FC4421"/>
          <w:sz w:val="32"/>
          <w:szCs w:val="32"/>
        </w:rPr>
      </w:pPr>
      <w:r w:rsidRPr="765EF231">
        <w:rPr>
          <w:rFonts w:ascii="Arial" w:hAnsi="Arial" w:cs="Arial"/>
          <w:b/>
          <w:bCs/>
          <w:i/>
          <w:iCs/>
          <w:caps/>
          <w:color w:val="FC4421"/>
          <w:sz w:val="32"/>
          <w:szCs w:val="32"/>
        </w:rPr>
        <w:t>hybrid/remote working</w:t>
      </w:r>
    </w:p>
    <w:bookmarkEnd w:id="0"/>
    <w:p w14:paraId="39D0AA9A" w14:textId="7E5403A8" w:rsidR="00C54F3B" w:rsidRPr="002E6392" w:rsidRDefault="00C54F3B" w:rsidP="002E6392">
      <w:pPr>
        <w:spacing w:line="276" w:lineRule="auto"/>
        <w:rPr>
          <w:rFonts w:ascii="Arial" w:hAnsi="Arial" w:cs="Arial"/>
        </w:rPr>
      </w:pPr>
      <w:r>
        <w:rPr>
          <w:rFonts w:ascii="Arial" w:hAnsi="Arial" w:cs="Arial"/>
        </w:rPr>
        <w:t xml:space="preserve">The following information will help you give suitable responses when a potential employer raises objections about offering an industry placement because the </w:t>
      </w:r>
      <w:r w:rsidR="002E6392">
        <w:rPr>
          <w:rFonts w:ascii="Arial" w:hAnsi="Arial" w:cs="Arial"/>
        </w:rPr>
        <w:t>firm mainly has remote/hybrid working arrangements so the student couldn’t meet the required hours in the workplace.</w:t>
      </w:r>
    </w:p>
    <w:p w14:paraId="152DA9A5" w14:textId="77777777" w:rsidR="00C54F3B" w:rsidRDefault="00C54F3B" w:rsidP="00C54F3B">
      <w:pPr>
        <w:rPr>
          <w:rFonts w:ascii="Arial" w:hAnsi="Arial" w:cs="Arial"/>
          <w:b/>
          <w:bCs/>
          <w:i/>
          <w:iCs/>
          <w:color w:val="FF0000"/>
        </w:rPr>
      </w:pPr>
    </w:p>
    <w:tbl>
      <w:tblPr>
        <w:tblStyle w:val="TableGrid"/>
        <w:tblW w:w="0" w:type="auto"/>
        <w:tblLook w:val="04A0" w:firstRow="1" w:lastRow="0" w:firstColumn="1" w:lastColumn="0" w:noHBand="0" w:noVBand="1"/>
      </w:tblPr>
      <w:tblGrid>
        <w:gridCol w:w="3685"/>
        <w:gridCol w:w="5953"/>
        <w:gridCol w:w="4592"/>
      </w:tblGrid>
      <w:tr w:rsidR="00C54F3B" w14:paraId="6275B4B0" w14:textId="77777777" w:rsidTr="765EF231">
        <w:trPr>
          <w:cantSplit/>
          <w:tblHeader/>
        </w:trPr>
        <w:tc>
          <w:tcPr>
            <w:tcW w:w="3685" w:type="dxa"/>
          </w:tcPr>
          <w:p w14:paraId="13D1CE4D" w14:textId="77777777" w:rsidR="00C54F3B" w:rsidRDefault="00C54F3B" w:rsidP="00825CE9">
            <w:pPr>
              <w:spacing w:before="120" w:after="120"/>
              <w:rPr>
                <w:rFonts w:ascii="Arial" w:hAnsi="Arial" w:cs="Arial"/>
                <w:b/>
                <w:bCs/>
                <w:i/>
                <w:iCs/>
                <w:color w:val="FF0000"/>
              </w:rPr>
            </w:pPr>
            <w:r>
              <w:rPr>
                <w:rFonts w:ascii="Arial" w:hAnsi="Arial" w:cs="Arial"/>
                <w:b/>
                <w:bCs/>
              </w:rPr>
              <w:t>Employer objection</w:t>
            </w:r>
          </w:p>
        </w:tc>
        <w:tc>
          <w:tcPr>
            <w:tcW w:w="5953" w:type="dxa"/>
          </w:tcPr>
          <w:p w14:paraId="72E40BA7" w14:textId="77777777" w:rsidR="00C54F3B" w:rsidRDefault="00C54F3B" w:rsidP="00825CE9">
            <w:pPr>
              <w:spacing w:before="120" w:after="120"/>
              <w:rPr>
                <w:rFonts w:ascii="Arial" w:hAnsi="Arial" w:cs="Arial"/>
                <w:b/>
                <w:bCs/>
                <w:i/>
                <w:iCs/>
                <w:color w:val="FF0000"/>
              </w:rPr>
            </w:pPr>
            <w:r>
              <w:rPr>
                <w:rFonts w:ascii="Arial" w:hAnsi="Arial" w:cs="Arial"/>
                <w:b/>
                <w:bCs/>
              </w:rPr>
              <w:t>Your response</w:t>
            </w:r>
          </w:p>
        </w:tc>
        <w:tc>
          <w:tcPr>
            <w:tcW w:w="4592" w:type="dxa"/>
          </w:tcPr>
          <w:p w14:paraId="31A001E6" w14:textId="77777777" w:rsidR="00C54F3B" w:rsidRPr="00C1707D" w:rsidRDefault="00C54F3B" w:rsidP="00825CE9">
            <w:pPr>
              <w:spacing w:before="120" w:after="120"/>
              <w:rPr>
                <w:rFonts w:ascii="Arial" w:hAnsi="Arial" w:cs="Arial"/>
                <w:b/>
                <w:bCs/>
                <w:i/>
                <w:iCs/>
              </w:rPr>
            </w:pPr>
            <w:r>
              <w:rPr>
                <w:rFonts w:ascii="Arial" w:hAnsi="Arial" w:cs="Arial"/>
                <w:b/>
                <w:bCs/>
                <w:i/>
                <w:iCs/>
              </w:rPr>
              <w:t xml:space="preserve">Where can you find further guidance? </w:t>
            </w:r>
          </w:p>
        </w:tc>
      </w:tr>
      <w:tr w:rsidR="00C54F3B" w14:paraId="7F78FD26" w14:textId="77777777" w:rsidTr="765EF231">
        <w:trPr>
          <w:cantSplit/>
        </w:trPr>
        <w:tc>
          <w:tcPr>
            <w:tcW w:w="3685" w:type="dxa"/>
          </w:tcPr>
          <w:p w14:paraId="58A19F80" w14:textId="781D3AB7" w:rsidR="00C54F3B" w:rsidRDefault="00B20F39" w:rsidP="00825CE9">
            <w:pPr>
              <w:spacing w:before="120" w:after="120"/>
              <w:rPr>
                <w:rFonts w:ascii="Arial" w:hAnsi="Arial" w:cs="Arial"/>
                <w:b/>
                <w:bCs/>
              </w:rPr>
            </w:pPr>
            <w:r>
              <w:rPr>
                <w:rFonts w:ascii="Arial" w:hAnsi="Arial" w:cs="Arial"/>
                <w:b/>
                <w:bCs/>
              </w:rPr>
              <w:t xml:space="preserve">Most of our staff work from home so we couldn’t have the student on </w:t>
            </w:r>
            <w:r w:rsidR="008E317C">
              <w:rPr>
                <w:rFonts w:ascii="Arial" w:hAnsi="Arial" w:cs="Arial"/>
                <w:b/>
                <w:bCs/>
              </w:rPr>
              <w:t xml:space="preserve">a </w:t>
            </w:r>
            <w:r>
              <w:rPr>
                <w:rFonts w:ascii="Arial" w:hAnsi="Arial" w:cs="Arial"/>
                <w:b/>
                <w:bCs/>
              </w:rPr>
              <w:t>placement for the traditional working week</w:t>
            </w:r>
            <w:r w:rsidR="001E4C65">
              <w:rPr>
                <w:rFonts w:ascii="Arial" w:hAnsi="Arial" w:cs="Arial"/>
                <w:b/>
                <w:bCs/>
              </w:rPr>
              <w:t>.</w:t>
            </w:r>
          </w:p>
        </w:tc>
        <w:tc>
          <w:tcPr>
            <w:tcW w:w="5953" w:type="dxa"/>
          </w:tcPr>
          <w:p w14:paraId="4B70C9FD" w14:textId="4D7FE278" w:rsidR="00C54F3B" w:rsidRPr="002D35F6" w:rsidRDefault="00B20F39" w:rsidP="00825CE9">
            <w:pPr>
              <w:spacing w:before="120" w:after="120"/>
              <w:rPr>
                <w:rFonts w:ascii="Arial" w:hAnsi="Arial" w:cs="Arial"/>
              </w:rPr>
            </w:pPr>
            <w:r>
              <w:rPr>
                <w:rFonts w:ascii="Arial" w:hAnsi="Arial" w:cs="Arial"/>
              </w:rPr>
              <w:t xml:space="preserve">There is no one prescribed model of when the student must do their placement. </w:t>
            </w:r>
            <w:r w:rsidR="00195598">
              <w:rPr>
                <w:rFonts w:ascii="Arial" w:hAnsi="Arial" w:cs="Arial"/>
              </w:rPr>
              <w:t>Therefore,</w:t>
            </w:r>
            <w:r>
              <w:rPr>
                <w:rFonts w:ascii="Arial" w:hAnsi="Arial" w:cs="Arial"/>
              </w:rPr>
              <w:t xml:space="preserve"> it may be possible to work with you to design a placement that matches when </w:t>
            </w:r>
            <w:r w:rsidR="008E317C">
              <w:rPr>
                <w:rFonts w:ascii="Arial" w:hAnsi="Arial" w:cs="Arial"/>
              </w:rPr>
              <w:t xml:space="preserve">your staff are in the workplace. </w:t>
            </w:r>
            <w:r w:rsidR="001A0D57">
              <w:rPr>
                <w:rFonts w:ascii="Arial" w:hAnsi="Arial" w:cs="Arial"/>
              </w:rPr>
              <w:t xml:space="preserve">In certain circumstances, </w:t>
            </w:r>
            <w:r w:rsidR="008B09BC" w:rsidRPr="001A0D57">
              <w:rPr>
                <w:rFonts w:ascii="Arial" w:hAnsi="Arial" w:cs="Arial"/>
              </w:rPr>
              <w:t>remote working can be used as long as the placement remain</w:t>
            </w:r>
            <w:r w:rsidR="001A0D57" w:rsidRPr="001A0D57">
              <w:rPr>
                <w:rFonts w:ascii="Arial" w:hAnsi="Arial" w:cs="Arial"/>
              </w:rPr>
              <w:t>s</w:t>
            </w:r>
            <w:r w:rsidR="008B09BC" w:rsidRPr="001A0D57">
              <w:rPr>
                <w:rFonts w:ascii="Arial" w:hAnsi="Arial" w:cs="Arial"/>
              </w:rPr>
              <w:t xml:space="preserve"> high-quality and meaningful for the student.</w:t>
            </w:r>
            <w:r w:rsidR="008B09BC">
              <w:rPr>
                <w:rFonts w:ascii="Arial" w:hAnsi="Arial" w:cs="Arial"/>
              </w:rPr>
              <w:t xml:space="preserve"> </w:t>
            </w:r>
            <w:r w:rsidR="008E317C">
              <w:rPr>
                <w:rFonts w:ascii="Arial" w:hAnsi="Arial" w:cs="Arial"/>
              </w:rPr>
              <w:t>This would obviously need to work in conjunction with the student’s time in school studying but may be possible.</w:t>
            </w:r>
            <w:r w:rsidRPr="00B20F39">
              <w:rPr>
                <w:rFonts w:ascii="Arial" w:hAnsi="Arial" w:cs="Arial"/>
              </w:rPr>
              <w:t xml:space="preserve"> </w:t>
            </w:r>
          </w:p>
        </w:tc>
        <w:tc>
          <w:tcPr>
            <w:tcW w:w="4592" w:type="dxa"/>
          </w:tcPr>
          <w:p w14:paraId="4101DC9B" w14:textId="77777777" w:rsidR="00C54F3B" w:rsidRDefault="00C54F3B" w:rsidP="00825CE9">
            <w:pPr>
              <w:spacing w:before="120" w:after="120"/>
              <w:rPr>
                <w:rFonts w:ascii="Arial" w:hAnsi="Arial" w:cs="Arial"/>
                <w:b/>
                <w:bCs/>
                <w:i/>
                <w:iCs/>
              </w:rPr>
            </w:pPr>
          </w:p>
        </w:tc>
      </w:tr>
      <w:tr w:rsidR="00C54F3B" w:rsidRPr="006E19A7" w14:paraId="001F84B9" w14:textId="77777777" w:rsidTr="765EF231">
        <w:trPr>
          <w:cantSplit/>
        </w:trPr>
        <w:tc>
          <w:tcPr>
            <w:tcW w:w="3685" w:type="dxa"/>
          </w:tcPr>
          <w:p w14:paraId="32EF2C55" w14:textId="7FD4A562" w:rsidR="00C54F3B" w:rsidRDefault="001C66C7" w:rsidP="00825CE9">
            <w:pPr>
              <w:spacing w:before="120" w:after="120"/>
              <w:rPr>
                <w:rFonts w:ascii="Arial" w:hAnsi="Arial" w:cs="Arial"/>
                <w:b/>
                <w:bCs/>
              </w:rPr>
            </w:pPr>
            <w:r>
              <w:rPr>
                <w:rFonts w:ascii="Arial" w:hAnsi="Arial" w:cs="Arial"/>
                <w:b/>
                <w:bCs/>
              </w:rPr>
              <w:t>All</w:t>
            </w:r>
            <w:r w:rsidR="008E317C">
              <w:rPr>
                <w:rFonts w:ascii="Arial" w:hAnsi="Arial" w:cs="Arial"/>
                <w:b/>
                <w:bCs/>
              </w:rPr>
              <w:t xml:space="preserve"> our staff do at least one day a week from home so the student would have</w:t>
            </w:r>
            <w:r w:rsidR="00965CB6">
              <w:rPr>
                <w:rFonts w:ascii="Arial" w:hAnsi="Arial" w:cs="Arial"/>
                <w:b/>
                <w:bCs/>
              </w:rPr>
              <w:t xml:space="preserve"> to</w:t>
            </w:r>
            <w:r w:rsidR="008E317C">
              <w:rPr>
                <w:rFonts w:ascii="Arial" w:hAnsi="Arial" w:cs="Arial"/>
                <w:b/>
                <w:bCs/>
              </w:rPr>
              <w:t xml:space="preserve"> </w:t>
            </w:r>
            <w:r w:rsidR="00965CB6">
              <w:rPr>
                <w:rFonts w:ascii="Arial" w:hAnsi="Arial" w:cs="Arial"/>
                <w:b/>
                <w:bCs/>
              </w:rPr>
              <w:t>do</w:t>
            </w:r>
            <w:r w:rsidR="008E317C">
              <w:rPr>
                <w:rFonts w:ascii="Arial" w:hAnsi="Arial" w:cs="Arial"/>
                <w:b/>
                <w:bCs/>
              </w:rPr>
              <w:t xml:space="preserve"> some time working from home.</w:t>
            </w:r>
          </w:p>
        </w:tc>
        <w:tc>
          <w:tcPr>
            <w:tcW w:w="5953" w:type="dxa"/>
          </w:tcPr>
          <w:p w14:paraId="18A0CD77" w14:textId="1BD98E39" w:rsidR="00965CB6" w:rsidRDefault="008E317C" w:rsidP="00825CE9">
            <w:pPr>
              <w:spacing w:before="120" w:after="120"/>
              <w:rPr>
                <w:rFonts w:ascii="Arial" w:hAnsi="Arial" w:cs="Arial"/>
              </w:rPr>
            </w:pPr>
            <w:r>
              <w:rPr>
                <w:rFonts w:ascii="Arial" w:hAnsi="Arial" w:cs="Arial"/>
              </w:rPr>
              <w:t xml:space="preserve">We understand that many jobs now have hybrid working </w:t>
            </w:r>
            <w:r w:rsidR="00195598">
              <w:rPr>
                <w:rFonts w:ascii="Arial" w:hAnsi="Arial" w:cs="Arial"/>
              </w:rPr>
              <w:t>arrangements,</w:t>
            </w:r>
            <w:r>
              <w:rPr>
                <w:rFonts w:ascii="Arial" w:hAnsi="Arial" w:cs="Arial"/>
              </w:rPr>
              <w:t xml:space="preserve"> but we are only allowed to give students up to </w:t>
            </w:r>
            <w:r w:rsidRPr="00B20F39">
              <w:rPr>
                <w:rFonts w:ascii="Arial" w:hAnsi="Arial" w:cs="Arial"/>
              </w:rPr>
              <w:t xml:space="preserve">one fifth (20%) of </w:t>
            </w:r>
            <w:r>
              <w:rPr>
                <w:rFonts w:ascii="Arial" w:hAnsi="Arial" w:cs="Arial"/>
              </w:rPr>
              <w:t xml:space="preserve">their </w:t>
            </w:r>
            <w:r w:rsidRPr="00965CB6">
              <w:rPr>
                <w:rFonts w:ascii="Arial" w:hAnsi="Arial" w:cs="Arial"/>
              </w:rPr>
              <w:t xml:space="preserve">total industry placement hours delivered </w:t>
            </w:r>
            <w:r w:rsidR="00965CB6" w:rsidRPr="00965CB6">
              <w:rPr>
                <w:rFonts w:ascii="Arial" w:hAnsi="Arial" w:cs="Arial"/>
              </w:rPr>
              <w:t xml:space="preserve">remotely.* </w:t>
            </w:r>
          </w:p>
          <w:p w14:paraId="0520D909" w14:textId="6F086562" w:rsidR="00965CB6" w:rsidRDefault="00965CB6" w:rsidP="00825CE9">
            <w:pPr>
              <w:spacing w:before="120" w:after="120"/>
              <w:rPr>
                <w:rFonts w:ascii="Arial" w:hAnsi="Arial" w:cs="Arial"/>
              </w:rPr>
            </w:pPr>
            <w:r w:rsidRPr="00965CB6">
              <w:rPr>
                <w:rFonts w:ascii="Arial" w:hAnsi="Arial" w:cs="Arial"/>
              </w:rPr>
              <w:t>We will agree together which elements of the placement can be achieved through remote working</w:t>
            </w:r>
            <w:r>
              <w:rPr>
                <w:rFonts w:ascii="Arial" w:hAnsi="Arial" w:cs="Arial"/>
              </w:rPr>
              <w:t>.</w:t>
            </w:r>
          </w:p>
          <w:p w14:paraId="1C849485" w14:textId="4FB26A84" w:rsidR="00C54F3B" w:rsidRPr="00A84B9B" w:rsidRDefault="00C54F3B" w:rsidP="00825CE9">
            <w:pPr>
              <w:spacing w:before="120" w:after="120"/>
              <w:rPr>
                <w:rFonts w:ascii="Arial" w:hAnsi="Arial" w:cs="Arial"/>
              </w:rPr>
            </w:pPr>
          </w:p>
        </w:tc>
        <w:tc>
          <w:tcPr>
            <w:tcW w:w="4592" w:type="dxa"/>
          </w:tcPr>
          <w:p w14:paraId="521AF47C" w14:textId="6F222D55" w:rsidR="008E317C" w:rsidRDefault="008E317C" w:rsidP="00825CE9">
            <w:pPr>
              <w:spacing w:before="120" w:after="120"/>
              <w:rPr>
                <w:rFonts w:ascii="Arial" w:hAnsi="Arial" w:cs="Arial"/>
              </w:rPr>
            </w:pPr>
            <w:r>
              <w:rPr>
                <w:rFonts w:ascii="Arial" w:hAnsi="Arial" w:cs="Arial"/>
              </w:rPr>
              <w:t>The 20% rule applies to the following T levels:</w:t>
            </w:r>
          </w:p>
          <w:p w14:paraId="726E157C" w14:textId="39182E58" w:rsidR="008E317C" w:rsidRPr="008E317C" w:rsidRDefault="008E317C" w:rsidP="00825CE9">
            <w:pPr>
              <w:numPr>
                <w:ilvl w:val="0"/>
                <w:numId w:val="5"/>
              </w:numPr>
              <w:spacing w:before="120" w:after="120"/>
              <w:rPr>
                <w:rFonts w:ascii="Arial" w:hAnsi="Arial" w:cs="Arial"/>
              </w:rPr>
            </w:pPr>
            <w:r w:rsidRPr="008E317C">
              <w:rPr>
                <w:rFonts w:ascii="Arial" w:hAnsi="Arial" w:cs="Arial"/>
              </w:rPr>
              <w:t>Digital (All</w:t>
            </w:r>
            <w:r>
              <w:rPr>
                <w:rFonts w:ascii="Arial" w:hAnsi="Arial" w:cs="Arial"/>
              </w:rPr>
              <w:t xml:space="preserve"> T levels</w:t>
            </w:r>
            <w:r w:rsidRPr="008E317C">
              <w:rPr>
                <w:rFonts w:ascii="Arial" w:hAnsi="Arial" w:cs="Arial"/>
              </w:rPr>
              <w:t>)</w:t>
            </w:r>
          </w:p>
          <w:p w14:paraId="043B2099" w14:textId="77777777" w:rsidR="008E317C" w:rsidRPr="008E317C" w:rsidRDefault="008E317C" w:rsidP="00825CE9">
            <w:pPr>
              <w:numPr>
                <w:ilvl w:val="0"/>
                <w:numId w:val="5"/>
              </w:numPr>
              <w:spacing w:before="120" w:after="120"/>
              <w:rPr>
                <w:rFonts w:ascii="Arial" w:hAnsi="Arial" w:cs="Arial"/>
              </w:rPr>
            </w:pPr>
            <w:r w:rsidRPr="008E317C">
              <w:rPr>
                <w:rFonts w:ascii="Arial" w:hAnsi="Arial" w:cs="Arial"/>
              </w:rPr>
              <w:t>Accounting</w:t>
            </w:r>
          </w:p>
          <w:p w14:paraId="6B5E4C72" w14:textId="77777777" w:rsidR="008E317C" w:rsidRPr="008E317C" w:rsidRDefault="008E317C" w:rsidP="00825CE9">
            <w:pPr>
              <w:numPr>
                <w:ilvl w:val="0"/>
                <w:numId w:val="5"/>
              </w:numPr>
              <w:spacing w:before="120" w:after="120"/>
              <w:rPr>
                <w:rFonts w:ascii="Arial" w:hAnsi="Arial" w:cs="Arial"/>
              </w:rPr>
            </w:pPr>
            <w:r w:rsidRPr="008E317C">
              <w:rPr>
                <w:rFonts w:ascii="Arial" w:hAnsi="Arial" w:cs="Arial"/>
              </w:rPr>
              <w:t>Finance</w:t>
            </w:r>
          </w:p>
          <w:p w14:paraId="1BA79A77" w14:textId="77777777" w:rsidR="008E317C" w:rsidRPr="008E317C" w:rsidRDefault="008E317C" w:rsidP="00825CE9">
            <w:pPr>
              <w:numPr>
                <w:ilvl w:val="0"/>
                <w:numId w:val="5"/>
              </w:numPr>
              <w:spacing w:before="120" w:after="120"/>
              <w:rPr>
                <w:rFonts w:ascii="Arial" w:hAnsi="Arial" w:cs="Arial"/>
              </w:rPr>
            </w:pPr>
            <w:r w:rsidRPr="008E317C">
              <w:rPr>
                <w:rFonts w:ascii="Arial" w:hAnsi="Arial" w:cs="Arial"/>
              </w:rPr>
              <w:t>Legal Services</w:t>
            </w:r>
          </w:p>
          <w:p w14:paraId="07DD9430" w14:textId="77777777" w:rsidR="008E317C" w:rsidRPr="008E317C" w:rsidRDefault="008E317C" w:rsidP="00825CE9">
            <w:pPr>
              <w:numPr>
                <w:ilvl w:val="0"/>
                <w:numId w:val="5"/>
              </w:numPr>
              <w:spacing w:before="120" w:after="120"/>
              <w:rPr>
                <w:rFonts w:ascii="Arial" w:hAnsi="Arial" w:cs="Arial"/>
              </w:rPr>
            </w:pPr>
            <w:r w:rsidRPr="008E317C">
              <w:rPr>
                <w:rFonts w:ascii="Arial" w:hAnsi="Arial" w:cs="Arial"/>
              </w:rPr>
              <w:t>Management and Administration</w:t>
            </w:r>
          </w:p>
          <w:p w14:paraId="5A8A9774" w14:textId="77777777" w:rsidR="008E317C" w:rsidRDefault="008E317C" w:rsidP="00825CE9">
            <w:pPr>
              <w:numPr>
                <w:ilvl w:val="0"/>
                <w:numId w:val="5"/>
              </w:numPr>
              <w:spacing w:before="120" w:after="120"/>
              <w:rPr>
                <w:rFonts w:ascii="Arial" w:hAnsi="Arial" w:cs="Arial"/>
              </w:rPr>
            </w:pPr>
            <w:r w:rsidRPr="008E317C">
              <w:rPr>
                <w:rFonts w:ascii="Arial" w:hAnsi="Arial" w:cs="Arial"/>
              </w:rPr>
              <w:t>Media, Broadcast and Production</w:t>
            </w:r>
          </w:p>
          <w:p w14:paraId="25426B6A" w14:textId="0EBE7974" w:rsidR="00C54F3B" w:rsidRPr="00C1707D" w:rsidRDefault="00965CB6" w:rsidP="00825CE9">
            <w:pPr>
              <w:spacing w:before="120" w:after="120"/>
              <w:rPr>
                <w:rFonts w:ascii="Arial" w:hAnsi="Arial" w:cs="Arial"/>
                <w:i/>
                <w:iCs/>
              </w:rPr>
            </w:pPr>
            <w:r>
              <w:rPr>
                <w:rFonts w:ascii="Arial" w:hAnsi="Arial" w:cs="Arial"/>
              </w:rPr>
              <w:t xml:space="preserve">DfE further </w:t>
            </w:r>
            <w:hyperlink r:id="rId10" w:history="1">
              <w:r w:rsidRPr="00965CB6">
                <w:rPr>
                  <w:rStyle w:val="Hyperlink"/>
                  <w:rFonts w:ascii="Arial" w:hAnsi="Arial" w:cs="Arial"/>
                </w:rPr>
                <w:t>guidance</w:t>
              </w:r>
            </w:hyperlink>
            <w:r>
              <w:rPr>
                <w:rFonts w:ascii="Arial" w:hAnsi="Arial" w:cs="Arial"/>
              </w:rPr>
              <w:t xml:space="preserve"> on rules.</w:t>
            </w:r>
          </w:p>
        </w:tc>
      </w:tr>
      <w:tr w:rsidR="00FE3B78" w:rsidRPr="006E19A7" w14:paraId="11ACC718" w14:textId="77777777" w:rsidTr="765EF231">
        <w:trPr>
          <w:cantSplit/>
        </w:trPr>
        <w:tc>
          <w:tcPr>
            <w:tcW w:w="3685" w:type="dxa"/>
          </w:tcPr>
          <w:p w14:paraId="54335E0F" w14:textId="6363AE9D" w:rsidR="00FE3B78" w:rsidRDefault="00FE3B78" w:rsidP="00825CE9">
            <w:pPr>
              <w:spacing w:before="120" w:after="120"/>
              <w:rPr>
                <w:rFonts w:ascii="Arial" w:hAnsi="Arial" w:cs="Arial"/>
                <w:b/>
                <w:bCs/>
              </w:rPr>
            </w:pPr>
            <w:r>
              <w:rPr>
                <w:rFonts w:ascii="Arial" w:hAnsi="Arial" w:cs="Arial"/>
                <w:b/>
                <w:bCs/>
              </w:rPr>
              <w:lastRenderedPageBreak/>
              <w:t>Because of our hybrid working arrangements we just feel that even with the remote hours mentioned above, 315 hours is still too much.</w:t>
            </w:r>
          </w:p>
        </w:tc>
        <w:tc>
          <w:tcPr>
            <w:tcW w:w="5953" w:type="dxa"/>
          </w:tcPr>
          <w:p w14:paraId="5CC01464" w14:textId="6C990674" w:rsidR="00FE3B78" w:rsidRDefault="00FE3B78" w:rsidP="00825CE9">
            <w:pPr>
              <w:spacing w:before="120" w:after="120"/>
              <w:rPr>
                <w:rFonts w:ascii="Arial" w:hAnsi="Arial" w:cs="Arial"/>
              </w:rPr>
            </w:pPr>
            <w:r w:rsidRPr="00FE3B78">
              <w:rPr>
                <w:rFonts w:ascii="Arial" w:hAnsi="Arial" w:cs="Arial"/>
              </w:rPr>
              <w:t>Work taster activities </w:t>
            </w:r>
            <w:r>
              <w:rPr>
                <w:rFonts w:ascii="Arial" w:hAnsi="Arial" w:cs="Arial"/>
              </w:rPr>
              <w:t xml:space="preserve">can also be used for up to 35 hours of the placement and these can be </w:t>
            </w:r>
            <w:r w:rsidR="00965CB6">
              <w:rPr>
                <w:rFonts w:ascii="Arial" w:hAnsi="Arial" w:cs="Arial"/>
              </w:rPr>
              <w:t>undertaken remotely</w:t>
            </w:r>
            <w:r>
              <w:rPr>
                <w:rFonts w:ascii="Arial" w:hAnsi="Arial" w:cs="Arial"/>
              </w:rPr>
              <w:t xml:space="preserve">. The </w:t>
            </w:r>
            <w:r w:rsidRPr="002D35F6">
              <w:rPr>
                <w:rFonts w:ascii="Arial" w:hAnsi="Arial" w:cs="Arial"/>
              </w:rPr>
              <w:t xml:space="preserve">purpose </w:t>
            </w:r>
            <w:r>
              <w:rPr>
                <w:rFonts w:ascii="Arial" w:hAnsi="Arial" w:cs="Arial"/>
              </w:rPr>
              <w:t xml:space="preserve">of the work taster hours is </w:t>
            </w:r>
            <w:r w:rsidRPr="002D35F6">
              <w:rPr>
                <w:rFonts w:ascii="Arial" w:hAnsi="Arial" w:cs="Arial"/>
              </w:rPr>
              <w:t>to help students gain a better understanding of the industry</w:t>
            </w:r>
            <w:r>
              <w:rPr>
                <w:rFonts w:ascii="Arial" w:hAnsi="Arial" w:cs="Arial"/>
              </w:rPr>
              <w:t>,</w:t>
            </w:r>
            <w:r w:rsidRPr="002D35F6">
              <w:rPr>
                <w:rFonts w:ascii="Arial" w:hAnsi="Arial" w:cs="Arial"/>
              </w:rPr>
              <w:t xml:space="preserve"> prepare them for their placement</w:t>
            </w:r>
            <w:r>
              <w:rPr>
                <w:rFonts w:ascii="Arial" w:hAnsi="Arial" w:cs="Arial"/>
              </w:rPr>
              <w:t xml:space="preserve"> and </w:t>
            </w:r>
            <w:r w:rsidRPr="002D35F6">
              <w:rPr>
                <w:rFonts w:ascii="Arial" w:hAnsi="Arial" w:cs="Arial"/>
              </w:rPr>
              <w:t xml:space="preserve">help employers assess a learner’s suitability before committing to a placement. </w:t>
            </w:r>
          </w:p>
          <w:p w14:paraId="53815CAF" w14:textId="77777777" w:rsidR="00FE3B78" w:rsidRDefault="00FE3B78" w:rsidP="00825CE9">
            <w:pPr>
              <w:spacing w:before="120" w:after="120"/>
              <w:rPr>
                <w:rFonts w:ascii="Arial" w:hAnsi="Arial" w:cs="Arial"/>
              </w:rPr>
            </w:pPr>
            <w:r>
              <w:rPr>
                <w:rFonts w:ascii="Arial" w:hAnsi="Arial" w:cs="Arial"/>
              </w:rPr>
              <w:t>Activities could include activ</w:t>
            </w:r>
            <w:r w:rsidRPr="002D35F6">
              <w:rPr>
                <w:rFonts w:ascii="Arial" w:hAnsi="Arial" w:cs="Arial"/>
              </w:rPr>
              <w:t>ities such as job-shadowing, introductory meetings with employees, virtual tours of the workplace, completion of on-the-job mandatory training and induction to the workplace company policies.</w:t>
            </w:r>
          </w:p>
          <w:p w14:paraId="51AC4FC6" w14:textId="569D3EC5" w:rsidR="001D7989" w:rsidRPr="00A84B9B" w:rsidRDefault="001D7989" w:rsidP="00825CE9">
            <w:pPr>
              <w:spacing w:before="120" w:after="120"/>
              <w:rPr>
                <w:rFonts w:ascii="Arial" w:hAnsi="Arial" w:cs="Arial"/>
              </w:rPr>
            </w:pPr>
            <w:r>
              <w:rPr>
                <w:rFonts w:ascii="Arial" w:hAnsi="Arial" w:cs="Arial"/>
              </w:rPr>
              <w:t xml:space="preserve">There may also be the possibility of splitting the 315 hours between </w:t>
            </w:r>
            <w:proofErr w:type="gramStart"/>
            <w:r>
              <w:rPr>
                <w:rFonts w:ascii="Arial" w:hAnsi="Arial" w:cs="Arial"/>
              </w:rPr>
              <w:t xml:space="preserve">a 2 </w:t>
            </w:r>
            <w:r w:rsidR="00DE7772">
              <w:rPr>
                <w:rFonts w:ascii="Arial" w:hAnsi="Arial" w:cs="Arial"/>
              </w:rPr>
              <w:t xml:space="preserve">unconnected </w:t>
            </w:r>
            <w:r>
              <w:rPr>
                <w:rFonts w:ascii="Arial" w:hAnsi="Arial" w:cs="Arial"/>
              </w:rPr>
              <w:t>employers</w:t>
            </w:r>
            <w:proofErr w:type="gramEnd"/>
            <w:r w:rsidR="00C9369C">
              <w:rPr>
                <w:rFonts w:ascii="Arial" w:hAnsi="Arial" w:cs="Arial"/>
              </w:rPr>
              <w:t xml:space="preserve">.  </w:t>
            </w:r>
          </w:p>
        </w:tc>
        <w:tc>
          <w:tcPr>
            <w:tcW w:w="4592" w:type="dxa"/>
          </w:tcPr>
          <w:p w14:paraId="5A7D3D7D" w14:textId="77777777" w:rsidR="00FE3B78" w:rsidRPr="00C1707D" w:rsidRDefault="00FE3B78" w:rsidP="00825CE9">
            <w:pPr>
              <w:spacing w:before="120" w:after="120"/>
              <w:rPr>
                <w:rFonts w:ascii="Arial" w:hAnsi="Arial" w:cs="Arial"/>
                <w:i/>
                <w:iCs/>
              </w:rPr>
            </w:pPr>
          </w:p>
        </w:tc>
      </w:tr>
      <w:tr w:rsidR="00FE3B78" w:rsidRPr="006E19A7" w14:paraId="70C9A14B" w14:textId="77777777" w:rsidTr="765EF231">
        <w:trPr>
          <w:cantSplit/>
        </w:trPr>
        <w:tc>
          <w:tcPr>
            <w:tcW w:w="3685" w:type="dxa"/>
          </w:tcPr>
          <w:p w14:paraId="254AC399" w14:textId="1A552D40" w:rsidR="00FE3B78" w:rsidRDefault="00FE3B78" w:rsidP="00825CE9">
            <w:pPr>
              <w:spacing w:before="120" w:after="120"/>
              <w:rPr>
                <w:rFonts w:ascii="Arial" w:hAnsi="Arial" w:cs="Arial"/>
                <w:b/>
                <w:bCs/>
              </w:rPr>
            </w:pPr>
            <w:r>
              <w:rPr>
                <w:rFonts w:ascii="Arial" w:hAnsi="Arial" w:cs="Arial"/>
                <w:b/>
                <w:bCs/>
              </w:rPr>
              <w:t>Could we deliver any of the placement hours in any other way in order to make up the 315 hours</w:t>
            </w:r>
          </w:p>
        </w:tc>
        <w:tc>
          <w:tcPr>
            <w:tcW w:w="5953" w:type="dxa"/>
          </w:tcPr>
          <w:p w14:paraId="403E8086" w14:textId="4347807A" w:rsidR="00FE3B78" w:rsidRPr="00FE3B78" w:rsidRDefault="00FE3B78" w:rsidP="00825CE9">
            <w:pPr>
              <w:spacing w:before="120" w:after="120"/>
              <w:rPr>
                <w:rFonts w:ascii="Arial" w:hAnsi="Arial" w:cs="Arial"/>
              </w:rPr>
            </w:pPr>
            <w:r w:rsidRPr="765EF231">
              <w:rPr>
                <w:rFonts w:ascii="Arial" w:hAnsi="Arial" w:cs="Arial"/>
              </w:rPr>
              <w:t>You can use supply chain and employer networks to deliver hours i.e. where you as the lead employer facilitate the placement across your subcontractors or employers in your supply chain or employer network. There is a limit of 3 employers (including the lead employer) that students can engage with as part this approach.</w:t>
            </w:r>
            <w:r w:rsidR="00416F08">
              <w:rPr>
                <w:rFonts w:ascii="Arial" w:hAnsi="Arial" w:cs="Arial"/>
              </w:rPr>
              <w:t xml:space="preserve"> </w:t>
            </w:r>
            <w:r w:rsidR="00416F08" w:rsidRPr="00416F08">
              <w:rPr>
                <w:rFonts w:ascii="Arial" w:hAnsi="Arial" w:cs="Arial"/>
              </w:rPr>
              <w:t>The lead employer would be responsible for the student for the full placement, regardless of whether the student was working with them or a partner/sub-contractor.</w:t>
            </w:r>
          </w:p>
        </w:tc>
        <w:tc>
          <w:tcPr>
            <w:tcW w:w="4592" w:type="dxa"/>
          </w:tcPr>
          <w:p w14:paraId="38D57A82" w14:textId="5BE8BD7D" w:rsidR="00FE3B78" w:rsidRPr="00BB0CA2" w:rsidRDefault="00BB0CA2" w:rsidP="765EF231">
            <w:pPr>
              <w:spacing w:before="120" w:after="120"/>
              <w:rPr>
                <w:rFonts w:ascii="Arial" w:hAnsi="Arial" w:cs="Arial"/>
                <w:i/>
                <w:iCs/>
              </w:rPr>
            </w:pPr>
            <w:r w:rsidRPr="00BB0CA2">
              <w:rPr>
                <w:rFonts w:ascii="Arial" w:hAnsi="Arial" w:cs="Arial"/>
              </w:rPr>
              <w:t xml:space="preserve"> </w:t>
            </w:r>
            <w:hyperlink r:id="rId11" w:history="1">
              <w:r w:rsidRPr="00BB0CA2">
                <w:rPr>
                  <w:rStyle w:val="Hyperlink"/>
                  <w:rFonts w:ascii="Arial" w:hAnsi="Arial" w:cs="Arial"/>
                </w:rPr>
                <w:t>Industry placement d</w:t>
              </w:r>
              <w:r w:rsidRPr="00BB0CA2">
                <w:rPr>
                  <w:rStyle w:val="Hyperlink"/>
                  <w:rFonts w:ascii="Arial" w:hAnsi="Arial" w:cs="Arial"/>
                </w:rPr>
                <w:t>e</w:t>
              </w:r>
              <w:r w:rsidRPr="00BB0CA2">
                <w:rPr>
                  <w:rStyle w:val="Hyperlink"/>
                  <w:rFonts w:ascii="Arial" w:hAnsi="Arial" w:cs="Arial"/>
                </w:rPr>
                <w:t>livery approaches</w:t>
              </w:r>
            </w:hyperlink>
          </w:p>
        </w:tc>
      </w:tr>
    </w:tbl>
    <w:p w14:paraId="27C0AC02" w14:textId="77777777" w:rsidR="00965CB6" w:rsidRDefault="00C54F3B" w:rsidP="00C54F3B">
      <w:pPr>
        <w:rPr>
          <w:rFonts w:ascii="Arial" w:hAnsi="Arial" w:cs="Arial"/>
        </w:rPr>
      </w:pPr>
      <w:r w:rsidRPr="00965CB6">
        <w:rPr>
          <w:rFonts w:ascii="Arial" w:hAnsi="Arial" w:cs="Arial"/>
        </w:rPr>
        <w:t xml:space="preserve"> </w:t>
      </w:r>
    </w:p>
    <w:p w14:paraId="1D1E5DD5" w14:textId="449B63E7" w:rsidR="00C54F3B" w:rsidRPr="00965CB6" w:rsidRDefault="00965CB6" w:rsidP="00C54F3B">
      <w:pPr>
        <w:rPr>
          <w:rFonts w:ascii="Arial" w:hAnsi="Arial" w:cs="Arial"/>
        </w:rPr>
      </w:pPr>
      <w:r>
        <w:rPr>
          <w:rFonts w:ascii="Arial" w:hAnsi="Arial" w:cs="Arial"/>
        </w:rPr>
        <w:t>*Where a student is following the 20% rule it is up to the school</w:t>
      </w:r>
      <w:r w:rsidR="005140C7">
        <w:rPr>
          <w:rFonts w:ascii="Arial" w:hAnsi="Arial" w:cs="Arial"/>
        </w:rPr>
        <w:t>/college</w:t>
      </w:r>
      <w:r>
        <w:rPr>
          <w:rFonts w:ascii="Arial" w:hAnsi="Arial" w:cs="Arial"/>
        </w:rPr>
        <w:t xml:space="preserve"> to make sure that t</w:t>
      </w:r>
      <w:r w:rsidRPr="00965CB6">
        <w:rPr>
          <w:rFonts w:ascii="Arial" w:hAnsi="Arial" w:cs="Arial"/>
        </w:rPr>
        <w:t xml:space="preserve">he location of the remote hours take place in a suitable environment e.g., a dedicated office space at the </w:t>
      </w:r>
      <w:r>
        <w:rPr>
          <w:rFonts w:ascii="Arial" w:hAnsi="Arial" w:cs="Arial"/>
        </w:rPr>
        <w:t>school. In</w:t>
      </w:r>
      <w:r w:rsidRPr="00965CB6">
        <w:rPr>
          <w:rFonts w:ascii="Arial" w:hAnsi="Arial" w:cs="Arial"/>
        </w:rPr>
        <w:t xml:space="preserve"> exceptional cases, students are able to undertake placement hours from home if the provider is satisfied students have an appropriate environment to work from and there are no safeguarding concerns.  </w:t>
      </w:r>
    </w:p>
    <w:p w14:paraId="44992B42" w14:textId="77777777" w:rsidR="00C54F3B" w:rsidRPr="00996BE0" w:rsidRDefault="00C54F3B" w:rsidP="00C54F3B">
      <w:pPr>
        <w:tabs>
          <w:tab w:val="num" w:pos="720"/>
        </w:tabs>
        <w:rPr>
          <w:rFonts w:ascii="Arial" w:hAnsi="Arial" w:cs="Arial"/>
        </w:rPr>
      </w:pPr>
    </w:p>
    <w:p w14:paraId="59CBF93F" w14:textId="618E22C5" w:rsidR="00174EE8" w:rsidRDefault="008E317C">
      <w:r>
        <w:rPr>
          <w:rFonts w:ascii="Arial" w:hAnsi="Arial" w:cs="Arial"/>
        </w:rPr>
        <w:t xml:space="preserve">Please note that placements on the </w:t>
      </w:r>
      <w:r w:rsidRPr="008E317C">
        <w:rPr>
          <w:rFonts w:ascii="Arial" w:hAnsi="Arial" w:cs="Arial"/>
        </w:rPr>
        <w:t>Early Years Educator specialism in the </w:t>
      </w:r>
      <w:hyperlink r:id="rId12" w:history="1">
        <w:r w:rsidRPr="008E317C">
          <w:rPr>
            <w:rStyle w:val="Hyperlink"/>
            <w:rFonts w:ascii="Arial" w:hAnsi="Arial" w:cs="Arial"/>
            <w:b/>
            <w:bCs/>
          </w:rPr>
          <w:t>Education and Childcare</w:t>
        </w:r>
      </w:hyperlink>
      <w:r w:rsidRPr="008E317C">
        <w:rPr>
          <w:rFonts w:ascii="Arial" w:hAnsi="Arial" w:cs="Arial"/>
        </w:rPr>
        <w:t> T Level and the Dental Nursing specialism in the </w:t>
      </w:r>
      <w:hyperlink r:id="rId13" w:history="1">
        <w:r w:rsidRPr="008E317C">
          <w:rPr>
            <w:rStyle w:val="Hyperlink"/>
            <w:rFonts w:ascii="Arial" w:hAnsi="Arial" w:cs="Arial"/>
            <w:b/>
            <w:bCs/>
          </w:rPr>
          <w:t>Health</w:t>
        </w:r>
      </w:hyperlink>
      <w:r w:rsidRPr="008E317C">
        <w:rPr>
          <w:rFonts w:ascii="Arial" w:hAnsi="Arial" w:cs="Arial"/>
        </w:rPr>
        <w:t> T Level</w:t>
      </w:r>
      <w:r>
        <w:rPr>
          <w:rFonts w:ascii="Arial" w:hAnsi="Arial" w:cs="Arial"/>
        </w:rPr>
        <w:t xml:space="preserve"> are subject to special rules. Please make sure you are familiar with them before </w:t>
      </w:r>
      <w:r w:rsidR="00FE3B78">
        <w:rPr>
          <w:rFonts w:ascii="Arial" w:hAnsi="Arial" w:cs="Arial"/>
        </w:rPr>
        <w:t>discussing working hours with potential employers.</w:t>
      </w:r>
    </w:p>
    <w:sectPr w:rsidR="00174EE8" w:rsidSect="00DC4BCB">
      <w:headerReference w:type="default" r:id="rId14"/>
      <w:footerReference w:type="default" r:id="rId15"/>
      <w:pgSz w:w="16838" w:h="11906" w:orient="landscape" w:code="9"/>
      <w:pgMar w:top="1418" w:right="851" w:bottom="1418" w:left="1418"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D4928" w14:textId="77777777" w:rsidR="00DC4BCB" w:rsidRDefault="00DC4BCB">
      <w:r>
        <w:separator/>
      </w:r>
    </w:p>
  </w:endnote>
  <w:endnote w:type="continuationSeparator" w:id="0">
    <w:p w14:paraId="65B7ECCC" w14:textId="77777777" w:rsidR="00DC4BCB" w:rsidRDefault="00DC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A8295" w14:textId="77777777" w:rsidR="006060BA" w:rsidRDefault="004F4FBB">
    <w:pPr>
      <w:pStyle w:val="Footer"/>
    </w:pPr>
    <w:r>
      <w:rPr>
        <w:noProof/>
      </w:rPr>
      <w:drawing>
        <wp:inline distT="0" distB="0" distL="0" distR="0" wp14:anchorId="79F6B668" wp14:editId="08C0BE2D">
          <wp:extent cx="1104900" cy="381000"/>
          <wp:effectExtent l="0" t="0" r="0" b="0"/>
          <wp:docPr id="26058471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584715"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04900" cy="381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6DFDB" w14:textId="77777777" w:rsidR="00DC4BCB" w:rsidRDefault="00DC4BCB">
      <w:r>
        <w:separator/>
      </w:r>
    </w:p>
  </w:footnote>
  <w:footnote w:type="continuationSeparator" w:id="0">
    <w:p w14:paraId="335A34DE" w14:textId="77777777" w:rsidR="00DC4BCB" w:rsidRDefault="00DC4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5602F" w14:textId="0B94B1B7" w:rsidR="006060BA" w:rsidRDefault="004F4FBB" w:rsidP="00825CE9">
    <w:pPr>
      <w:pStyle w:val="Header"/>
      <w:spacing w:after="120"/>
    </w:pPr>
    <w:r>
      <w:rPr>
        <w:noProof/>
      </w:rPr>
      <w:drawing>
        <wp:inline distT="0" distB="0" distL="0" distR="0" wp14:anchorId="6A202DB1" wp14:editId="6F85C580">
          <wp:extent cx="1699939" cy="556351"/>
          <wp:effectExtent l="0" t="0" r="0" b="0"/>
          <wp:docPr id="1331129279"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129279" name="Picture 1" descr="A black background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46745" cy="5716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80AAD"/>
    <w:multiLevelType w:val="multilevel"/>
    <w:tmpl w:val="9416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CA069D"/>
    <w:multiLevelType w:val="hybridMultilevel"/>
    <w:tmpl w:val="539AC0CE"/>
    <w:lvl w:ilvl="0" w:tplc="974236EC">
      <w:start w:val="4"/>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9A245E"/>
    <w:multiLevelType w:val="hybridMultilevel"/>
    <w:tmpl w:val="AE5EE46A"/>
    <w:lvl w:ilvl="0" w:tplc="D6FAC78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B27E56"/>
    <w:multiLevelType w:val="hybridMultilevel"/>
    <w:tmpl w:val="9144807A"/>
    <w:lvl w:ilvl="0" w:tplc="08AAD298">
      <w:start w:val="5"/>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A64290"/>
    <w:multiLevelType w:val="hybridMultilevel"/>
    <w:tmpl w:val="241A3AD6"/>
    <w:lvl w:ilvl="0" w:tplc="3E3E537C">
      <w:start w:val="3"/>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6024407">
    <w:abstractNumId w:val="2"/>
  </w:num>
  <w:num w:numId="2" w16cid:durableId="1714771917">
    <w:abstractNumId w:val="4"/>
  </w:num>
  <w:num w:numId="3" w16cid:durableId="1737582316">
    <w:abstractNumId w:val="1"/>
  </w:num>
  <w:num w:numId="4" w16cid:durableId="1415084123">
    <w:abstractNumId w:val="3"/>
  </w:num>
  <w:num w:numId="5" w16cid:durableId="1961300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3B"/>
    <w:rsid w:val="00174EE8"/>
    <w:rsid w:val="00195598"/>
    <w:rsid w:val="001A0D57"/>
    <w:rsid w:val="001C66C7"/>
    <w:rsid w:val="001D5733"/>
    <w:rsid w:val="001D7989"/>
    <w:rsid w:val="001E4C65"/>
    <w:rsid w:val="00271112"/>
    <w:rsid w:val="002B5ECE"/>
    <w:rsid w:val="002E6392"/>
    <w:rsid w:val="00416F08"/>
    <w:rsid w:val="00422D65"/>
    <w:rsid w:val="004F4FBB"/>
    <w:rsid w:val="005140C7"/>
    <w:rsid w:val="006060BA"/>
    <w:rsid w:val="00765788"/>
    <w:rsid w:val="007F4F0E"/>
    <w:rsid w:val="00825CE9"/>
    <w:rsid w:val="008B09BC"/>
    <w:rsid w:val="008E317C"/>
    <w:rsid w:val="008E6E7F"/>
    <w:rsid w:val="00926E15"/>
    <w:rsid w:val="00965CB6"/>
    <w:rsid w:val="00977674"/>
    <w:rsid w:val="009E093A"/>
    <w:rsid w:val="00AD77C9"/>
    <w:rsid w:val="00B20F39"/>
    <w:rsid w:val="00BB0CA2"/>
    <w:rsid w:val="00C54F3B"/>
    <w:rsid w:val="00C9369C"/>
    <w:rsid w:val="00D87FF9"/>
    <w:rsid w:val="00DA6CD0"/>
    <w:rsid w:val="00DB668E"/>
    <w:rsid w:val="00DC4BCB"/>
    <w:rsid w:val="00DE5D8B"/>
    <w:rsid w:val="00DE7772"/>
    <w:rsid w:val="00FE3B78"/>
    <w:rsid w:val="5490B31E"/>
    <w:rsid w:val="765EF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DD9F3"/>
  <w15:chartTrackingRefBased/>
  <w15:docId w15:val="{C4EF3FF1-272F-46FC-B317-437C8316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F3B"/>
    <w:pPr>
      <w:spacing w:after="0" w:line="240" w:lineRule="auto"/>
    </w:pPr>
    <w:rPr>
      <w:sz w:val="24"/>
      <w:szCs w:val="24"/>
    </w:rPr>
  </w:style>
  <w:style w:type="paragraph" w:styleId="Heading1">
    <w:name w:val="heading 1"/>
    <w:basedOn w:val="Normal"/>
    <w:next w:val="Normal"/>
    <w:link w:val="Heading1Char"/>
    <w:uiPriority w:val="9"/>
    <w:qFormat/>
    <w:rsid w:val="00C54F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4F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4F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4F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4F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4F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4F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4F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4F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F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4F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4F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4F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4F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4F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4F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4F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4F3B"/>
    <w:rPr>
      <w:rFonts w:eastAsiaTheme="majorEastAsia" w:cstheme="majorBidi"/>
      <w:color w:val="272727" w:themeColor="text1" w:themeTint="D8"/>
    </w:rPr>
  </w:style>
  <w:style w:type="paragraph" w:styleId="Title">
    <w:name w:val="Title"/>
    <w:basedOn w:val="Normal"/>
    <w:next w:val="Normal"/>
    <w:link w:val="TitleChar"/>
    <w:uiPriority w:val="10"/>
    <w:qFormat/>
    <w:rsid w:val="00C54F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4F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4F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4F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4F3B"/>
    <w:pPr>
      <w:spacing w:before="160"/>
      <w:jc w:val="center"/>
    </w:pPr>
    <w:rPr>
      <w:i/>
      <w:iCs/>
      <w:color w:val="404040" w:themeColor="text1" w:themeTint="BF"/>
    </w:rPr>
  </w:style>
  <w:style w:type="character" w:customStyle="1" w:styleId="QuoteChar">
    <w:name w:val="Quote Char"/>
    <w:basedOn w:val="DefaultParagraphFont"/>
    <w:link w:val="Quote"/>
    <w:uiPriority w:val="29"/>
    <w:rsid w:val="00C54F3B"/>
    <w:rPr>
      <w:i/>
      <w:iCs/>
      <w:color w:val="404040" w:themeColor="text1" w:themeTint="BF"/>
    </w:rPr>
  </w:style>
  <w:style w:type="paragraph" w:styleId="ListParagraph">
    <w:name w:val="List Paragraph"/>
    <w:basedOn w:val="Normal"/>
    <w:uiPriority w:val="34"/>
    <w:qFormat/>
    <w:rsid w:val="00C54F3B"/>
    <w:pPr>
      <w:ind w:left="720"/>
      <w:contextualSpacing/>
    </w:pPr>
  </w:style>
  <w:style w:type="character" w:styleId="IntenseEmphasis">
    <w:name w:val="Intense Emphasis"/>
    <w:basedOn w:val="DefaultParagraphFont"/>
    <w:uiPriority w:val="21"/>
    <w:qFormat/>
    <w:rsid w:val="00C54F3B"/>
    <w:rPr>
      <w:i/>
      <w:iCs/>
      <w:color w:val="0F4761" w:themeColor="accent1" w:themeShade="BF"/>
    </w:rPr>
  </w:style>
  <w:style w:type="paragraph" w:styleId="IntenseQuote">
    <w:name w:val="Intense Quote"/>
    <w:basedOn w:val="Normal"/>
    <w:next w:val="Normal"/>
    <w:link w:val="IntenseQuoteChar"/>
    <w:uiPriority w:val="30"/>
    <w:qFormat/>
    <w:rsid w:val="00C54F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4F3B"/>
    <w:rPr>
      <w:i/>
      <w:iCs/>
      <w:color w:val="0F4761" w:themeColor="accent1" w:themeShade="BF"/>
    </w:rPr>
  </w:style>
  <w:style w:type="character" w:styleId="IntenseReference">
    <w:name w:val="Intense Reference"/>
    <w:basedOn w:val="DefaultParagraphFont"/>
    <w:uiPriority w:val="32"/>
    <w:qFormat/>
    <w:rsid w:val="00C54F3B"/>
    <w:rPr>
      <w:b/>
      <w:bCs/>
      <w:smallCaps/>
      <w:color w:val="0F4761" w:themeColor="accent1" w:themeShade="BF"/>
      <w:spacing w:val="5"/>
    </w:rPr>
  </w:style>
  <w:style w:type="paragraph" w:styleId="Header">
    <w:name w:val="header"/>
    <w:basedOn w:val="Normal"/>
    <w:link w:val="HeaderChar"/>
    <w:uiPriority w:val="99"/>
    <w:unhideWhenUsed/>
    <w:rsid w:val="00C54F3B"/>
    <w:pPr>
      <w:tabs>
        <w:tab w:val="center" w:pos="4513"/>
        <w:tab w:val="right" w:pos="9026"/>
      </w:tabs>
    </w:pPr>
  </w:style>
  <w:style w:type="character" w:customStyle="1" w:styleId="HeaderChar">
    <w:name w:val="Header Char"/>
    <w:basedOn w:val="DefaultParagraphFont"/>
    <w:link w:val="Header"/>
    <w:uiPriority w:val="99"/>
    <w:rsid w:val="00C54F3B"/>
    <w:rPr>
      <w:sz w:val="24"/>
      <w:szCs w:val="24"/>
    </w:rPr>
  </w:style>
  <w:style w:type="paragraph" w:styleId="Footer">
    <w:name w:val="footer"/>
    <w:basedOn w:val="Normal"/>
    <w:link w:val="FooterChar"/>
    <w:uiPriority w:val="99"/>
    <w:unhideWhenUsed/>
    <w:rsid w:val="00C54F3B"/>
    <w:pPr>
      <w:tabs>
        <w:tab w:val="center" w:pos="4513"/>
        <w:tab w:val="right" w:pos="9026"/>
      </w:tabs>
    </w:pPr>
  </w:style>
  <w:style w:type="character" w:customStyle="1" w:styleId="FooterChar">
    <w:name w:val="Footer Char"/>
    <w:basedOn w:val="DefaultParagraphFont"/>
    <w:link w:val="Footer"/>
    <w:uiPriority w:val="99"/>
    <w:rsid w:val="00C54F3B"/>
    <w:rPr>
      <w:sz w:val="24"/>
      <w:szCs w:val="24"/>
    </w:rPr>
  </w:style>
  <w:style w:type="character" w:styleId="Hyperlink">
    <w:name w:val="Hyperlink"/>
    <w:basedOn w:val="DefaultParagraphFont"/>
    <w:uiPriority w:val="99"/>
    <w:unhideWhenUsed/>
    <w:rsid w:val="00C54F3B"/>
    <w:rPr>
      <w:color w:val="467886" w:themeColor="hyperlink"/>
      <w:u w:val="single"/>
    </w:rPr>
  </w:style>
  <w:style w:type="table" w:styleId="TableGrid">
    <w:name w:val="Table Grid"/>
    <w:basedOn w:val="TableNormal"/>
    <w:uiPriority w:val="39"/>
    <w:rsid w:val="00C54F3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317C"/>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F4F0E"/>
    <w:rPr>
      <w:b/>
      <w:bCs/>
    </w:rPr>
  </w:style>
  <w:style w:type="character" w:customStyle="1" w:styleId="CommentSubjectChar">
    <w:name w:val="Comment Subject Char"/>
    <w:basedOn w:val="CommentTextChar"/>
    <w:link w:val="CommentSubject"/>
    <w:uiPriority w:val="99"/>
    <w:semiHidden/>
    <w:rsid w:val="007F4F0E"/>
    <w:rPr>
      <w:b/>
      <w:bCs/>
      <w:sz w:val="20"/>
      <w:szCs w:val="20"/>
    </w:rPr>
  </w:style>
  <w:style w:type="character" w:styleId="FollowedHyperlink">
    <w:name w:val="FollowedHyperlink"/>
    <w:basedOn w:val="DefaultParagraphFont"/>
    <w:uiPriority w:val="99"/>
    <w:semiHidden/>
    <w:unhideWhenUsed/>
    <w:rsid w:val="00BB0CA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018796">
      <w:bodyDiv w:val="1"/>
      <w:marLeft w:val="0"/>
      <w:marRight w:val="0"/>
      <w:marTop w:val="0"/>
      <w:marBottom w:val="0"/>
      <w:divBdr>
        <w:top w:val="none" w:sz="0" w:space="0" w:color="auto"/>
        <w:left w:val="none" w:sz="0" w:space="0" w:color="auto"/>
        <w:bottom w:val="none" w:sz="0" w:space="0" w:color="auto"/>
        <w:right w:val="none" w:sz="0" w:space="0" w:color="auto"/>
      </w:divBdr>
    </w:div>
    <w:div w:id="1709648692">
      <w:bodyDiv w:val="1"/>
      <w:marLeft w:val="0"/>
      <w:marRight w:val="0"/>
      <w:marTop w:val="0"/>
      <w:marBottom w:val="0"/>
      <w:divBdr>
        <w:top w:val="none" w:sz="0" w:space="0" w:color="auto"/>
        <w:left w:val="none" w:sz="0" w:space="0" w:color="auto"/>
        <w:bottom w:val="none" w:sz="0" w:space="0" w:color="auto"/>
        <w:right w:val="none" w:sz="0" w:space="0" w:color="auto"/>
      </w:divBdr>
    </w:div>
    <w:div w:id="182565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levels.gov.uk/students/subjects/health"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levels.gov.uk/students/subjects/educ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mployers.tlevels.gov.uk/hc/en-gb/articles/10007415795602-Industry-placement-delivery-approach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ssets.publishing.service.gov.uk/media/649d43c345b6a2000c3d4515/Annex_A_industry_placement_delivery_approaches_guidanc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fa43e64-8a6d-4c3d-bfba-c0d9753f4fb0" xsi:nil="true"/>
    <lcf76f155ced4ddcb4097134ff3c332f xmlns="e331b3de-4d89-4303-8187-0e0a31be41e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4F55405569884AB0A124CA152463B3" ma:contentTypeVersion="14" ma:contentTypeDescription="Create a new document." ma:contentTypeScope="" ma:versionID="5ad39137901209e0482e7546935faeb2">
  <xsd:schema xmlns:xsd="http://www.w3.org/2001/XMLSchema" xmlns:xs="http://www.w3.org/2001/XMLSchema" xmlns:p="http://schemas.microsoft.com/office/2006/metadata/properties" xmlns:ns2="e331b3de-4d89-4303-8187-0e0a31be41e9" xmlns:ns3="1fa43e64-8a6d-4c3d-bfba-c0d9753f4fb0" targetNamespace="http://schemas.microsoft.com/office/2006/metadata/properties" ma:root="true" ma:fieldsID="af86122f2e3e758737d2168d456e5155" ns2:_="" ns3:_="">
    <xsd:import namespace="e331b3de-4d89-4303-8187-0e0a31be41e9"/>
    <xsd:import namespace="1fa43e64-8a6d-4c3d-bfba-c0d9753f4f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b3de-4d89-4303-8187-0e0a31be4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46117c-483c-4368-8e8e-496db685c01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43e64-8a6d-4c3d-bfba-c0d9753f4f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b3bc2cb-7429-4bee-88ae-e52a19ab2b64}" ma:internalName="TaxCatchAll" ma:showField="CatchAllData" ma:web="1fa43e64-8a6d-4c3d-bfba-c0d9753f4f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093584-DA4B-4F31-B66A-BE2641A89E29}">
  <ds:schemaRefs>
    <ds:schemaRef ds:uri="http://schemas.microsoft.com/sharepoint/v3/contenttype/forms"/>
  </ds:schemaRefs>
</ds:datastoreItem>
</file>

<file path=customXml/itemProps2.xml><?xml version="1.0" encoding="utf-8"?>
<ds:datastoreItem xmlns:ds="http://schemas.openxmlformats.org/officeDocument/2006/customXml" ds:itemID="{8AE670AB-1FE8-415E-94F4-A65D48201037}">
  <ds:schemaRefs>
    <ds:schemaRef ds:uri="http://schemas.microsoft.com/office/2006/metadata/properties"/>
    <ds:schemaRef ds:uri="http://www.w3.org/2000/xmlns/"/>
    <ds:schemaRef ds:uri="8c566321-f672-4e06-a901-b5e72b4c4357"/>
    <ds:schemaRef ds:uri="http://www.w3.org/2001/XMLSchema-instance"/>
    <ds:schemaRef ds:uri="4d5c5177-e17f-4910-a007-5de2f7b5b55d"/>
    <ds:schemaRef ds:uri="http://schemas.microsoft.com/office/infopath/2007/PartnerControls"/>
    <ds:schemaRef ds:uri="1fa43e64-8a6d-4c3d-bfba-c0d9753f4fb0"/>
    <ds:schemaRef ds:uri="e331b3de-4d89-4303-8187-0e0a31be41e9"/>
  </ds:schemaRefs>
</ds:datastoreItem>
</file>

<file path=customXml/itemProps3.xml><?xml version="1.0" encoding="utf-8"?>
<ds:datastoreItem xmlns:ds="http://schemas.openxmlformats.org/officeDocument/2006/customXml" ds:itemID="{A95505D5-A42A-44B1-92C6-7E1546DF6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1b3de-4d89-4303-8187-0e0a31be41e9"/>
    <ds:schemaRef ds:uri="1fa43e64-8a6d-4c3d-bfba-c0d9753f4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607</Words>
  <Characters>3464</Characters>
  <Application>Microsoft Office Word</Application>
  <DocSecurity>0</DocSecurity>
  <Lines>28</Lines>
  <Paragraphs>8</Paragraphs>
  <ScaleCrop>false</ScaleCrop>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Gilmartin</dc:creator>
  <cp:keywords/>
  <dc:description/>
  <cp:lastModifiedBy>Anna Sutton</cp:lastModifiedBy>
  <cp:revision>23</cp:revision>
  <dcterms:created xsi:type="dcterms:W3CDTF">2024-03-19T16:21:00Z</dcterms:created>
  <dcterms:modified xsi:type="dcterms:W3CDTF">2024-04-09T11:01:00Z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0x0101002E4F55405569884AB0A124CA152463B3</vt:lpwstr>
  </property>
  <property fmtid="{D5CDD505-2E9C-101B-9397-08002B2CF9AE}" pid="3" name="MediaServiceImageTags">
    <vt:lpwstr/>
  </property>
</Properties>
</file>