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46C1" w14:textId="4DDB9BA4" w:rsidR="00984ADA" w:rsidRPr="00984ADA" w:rsidRDefault="00C54F3B" w:rsidP="00C05E14">
      <w:pPr>
        <w:spacing w:before="120" w:after="120"/>
        <w:rPr>
          <w:rFonts w:ascii="Arial" w:hAnsi="Arial" w:cs="Arial"/>
          <w:b/>
          <w:bCs/>
          <w:i/>
          <w:caps/>
          <w:color w:val="FC4421"/>
          <w:sz w:val="36"/>
          <w:szCs w:val="36"/>
        </w:rPr>
      </w:pPr>
      <w:bookmarkStart w:id="0" w:name="_Toc153354836"/>
      <w:r>
        <w:rPr>
          <w:rFonts w:ascii="Arial" w:hAnsi="Arial" w:cs="Arial"/>
          <w:b/>
          <w:bCs/>
          <w:i/>
          <w:caps/>
          <w:color w:val="FC4421"/>
          <w:sz w:val="36"/>
          <w:szCs w:val="36"/>
        </w:rPr>
        <w:t>objection handling</w:t>
      </w:r>
    </w:p>
    <w:p w14:paraId="4E5AFEB4" w14:textId="49DA12C6" w:rsidR="00984ADA" w:rsidRPr="00CB6E1A" w:rsidRDefault="007C1DE3" w:rsidP="00C05E14">
      <w:pPr>
        <w:spacing w:before="120" w:after="120"/>
        <w:rPr>
          <w:rFonts w:ascii="Arial" w:hAnsi="Arial" w:cs="Arial"/>
          <w:b/>
          <w:bCs/>
          <w:i/>
          <w:caps/>
          <w:color w:val="FC4421"/>
          <w:sz w:val="32"/>
          <w:szCs w:val="32"/>
        </w:rPr>
      </w:pPr>
      <w:r>
        <w:rPr>
          <w:rFonts w:ascii="Arial" w:hAnsi="Arial" w:cs="Arial"/>
          <w:b/>
          <w:bCs/>
          <w:i/>
          <w:caps/>
          <w:color w:val="FC4421"/>
          <w:sz w:val="32"/>
          <w:szCs w:val="32"/>
        </w:rPr>
        <w:t>Location</w:t>
      </w:r>
      <w:r w:rsidR="00A270DF">
        <w:rPr>
          <w:rFonts w:ascii="Arial" w:hAnsi="Arial" w:cs="Arial"/>
          <w:b/>
          <w:bCs/>
          <w:i/>
          <w:caps/>
          <w:color w:val="FC4421"/>
          <w:sz w:val="32"/>
          <w:szCs w:val="32"/>
        </w:rPr>
        <w:t>, location, location!</w:t>
      </w:r>
    </w:p>
    <w:bookmarkEnd w:id="0"/>
    <w:p w14:paraId="39D0AA9A" w14:textId="41F9C59A" w:rsidR="00C54F3B" w:rsidRPr="00AC3520" w:rsidRDefault="00C54F3B" w:rsidP="00C05E14">
      <w:pPr>
        <w:spacing w:before="120" w:after="120" w:line="276" w:lineRule="auto"/>
        <w:rPr>
          <w:rFonts w:ascii="Arial" w:hAnsi="Arial" w:cs="Arial"/>
        </w:rPr>
      </w:pPr>
      <w:r>
        <w:rPr>
          <w:rFonts w:ascii="Arial" w:hAnsi="Arial" w:cs="Arial"/>
        </w:rPr>
        <w:t>The following information will help you give suitable responses when a potential employer raises objections about offering an industry placement because the</w:t>
      </w:r>
      <w:r w:rsidR="00664BC0">
        <w:rPr>
          <w:rFonts w:ascii="Arial" w:hAnsi="Arial" w:cs="Arial"/>
        </w:rPr>
        <w:t xml:space="preserve">ir business is </w:t>
      </w:r>
      <w:r w:rsidR="00DE1679">
        <w:rPr>
          <w:rFonts w:ascii="Arial" w:hAnsi="Arial" w:cs="Arial"/>
        </w:rPr>
        <w:t>“</w:t>
      </w:r>
      <w:r w:rsidR="00664BC0">
        <w:rPr>
          <w:rFonts w:ascii="Arial" w:hAnsi="Arial" w:cs="Arial"/>
        </w:rPr>
        <w:t>too rural or remote</w:t>
      </w:r>
      <w:r w:rsidR="00DE1679">
        <w:rPr>
          <w:rFonts w:ascii="Arial" w:hAnsi="Arial" w:cs="Arial"/>
        </w:rPr>
        <w:t>”</w:t>
      </w:r>
      <w:r w:rsidR="00664BC0">
        <w:rPr>
          <w:rFonts w:ascii="Arial" w:hAnsi="Arial" w:cs="Arial"/>
        </w:rPr>
        <w:t>.</w:t>
      </w:r>
    </w:p>
    <w:tbl>
      <w:tblPr>
        <w:tblStyle w:val="TableGrid"/>
        <w:tblW w:w="14230" w:type="dxa"/>
        <w:tblLook w:val="04A0" w:firstRow="1" w:lastRow="0" w:firstColumn="1" w:lastColumn="0" w:noHBand="0" w:noVBand="1"/>
      </w:tblPr>
      <w:tblGrid>
        <w:gridCol w:w="3685"/>
        <w:gridCol w:w="5953"/>
        <w:gridCol w:w="4592"/>
      </w:tblGrid>
      <w:tr w:rsidR="00C54F3B" w14:paraId="6275B4B0" w14:textId="77777777" w:rsidTr="00C05E14">
        <w:trPr>
          <w:cantSplit/>
          <w:tblHeader/>
        </w:trPr>
        <w:tc>
          <w:tcPr>
            <w:tcW w:w="3685" w:type="dxa"/>
          </w:tcPr>
          <w:p w14:paraId="13D1CE4D" w14:textId="77777777" w:rsidR="00C54F3B" w:rsidRDefault="00C54F3B" w:rsidP="00C05E14">
            <w:pPr>
              <w:spacing w:before="120" w:after="120"/>
              <w:rPr>
                <w:rFonts w:ascii="Arial" w:hAnsi="Arial" w:cs="Arial"/>
                <w:b/>
                <w:bCs/>
                <w:i/>
                <w:iCs/>
                <w:color w:val="FF0000"/>
              </w:rPr>
            </w:pPr>
            <w:r>
              <w:rPr>
                <w:rFonts w:ascii="Arial" w:hAnsi="Arial" w:cs="Arial"/>
                <w:b/>
                <w:bCs/>
              </w:rPr>
              <w:t>Employer objection</w:t>
            </w:r>
          </w:p>
        </w:tc>
        <w:tc>
          <w:tcPr>
            <w:tcW w:w="5953" w:type="dxa"/>
          </w:tcPr>
          <w:p w14:paraId="72E40BA7" w14:textId="77777777" w:rsidR="00C54F3B" w:rsidRDefault="00C54F3B" w:rsidP="00C05E14">
            <w:pPr>
              <w:spacing w:before="120" w:after="120"/>
              <w:rPr>
                <w:rFonts w:ascii="Arial" w:hAnsi="Arial" w:cs="Arial"/>
                <w:b/>
                <w:bCs/>
                <w:i/>
                <w:iCs/>
                <w:color w:val="FF0000"/>
              </w:rPr>
            </w:pPr>
            <w:r>
              <w:rPr>
                <w:rFonts w:ascii="Arial" w:hAnsi="Arial" w:cs="Arial"/>
                <w:b/>
                <w:bCs/>
              </w:rPr>
              <w:t>Your response</w:t>
            </w:r>
          </w:p>
        </w:tc>
        <w:tc>
          <w:tcPr>
            <w:tcW w:w="4592" w:type="dxa"/>
          </w:tcPr>
          <w:p w14:paraId="31A001E6" w14:textId="77777777" w:rsidR="00C54F3B" w:rsidRPr="00C1707D" w:rsidRDefault="00C54F3B" w:rsidP="00C05E14">
            <w:pPr>
              <w:spacing w:before="120" w:after="120"/>
              <w:rPr>
                <w:rFonts w:ascii="Arial" w:hAnsi="Arial" w:cs="Arial"/>
                <w:b/>
                <w:bCs/>
                <w:i/>
                <w:iCs/>
              </w:rPr>
            </w:pPr>
            <w:r>
              <w:rPr>
                <w:rFonts w:ascii="Arial" w:hAnsi="Arial" w:cs="Arial"/>
                <w:b/>
                <w:bCs/>
                <w:i/>
                <w:iCs/>
              </w:rPr>
              <w:t xml:space="preserve">Where can you find further guidance? </w:t>
            </w:r>
          </w:p>
        </w:tc>
      </w:tr>
      <w:tr w:rsidR="00CC6895" w:rsidRPr="00B711FA" w14:paraId="3722F089" w14:textId="77777777" w:rsidTr="00C05E14">
        <w:trPr>
          <w:cantSplit/>
        </w:trPr>
        <w:tc>
          <w:tcPr>
            <w:tcW w:w="3685" w:type="dxa"/>
          </w:tcPr>
          <w:p w14:paraId="313C060C" w14:textId="266468C7" w:rsidR="00CC6895" w:rsidRDefault="00CC6895" w:rsidP="00C05E14">
            <w:pPr>
              <w:spacing w:before="120" w:after="120"/>
              <w:rPr>
                <w:rFonts w:ascii="Arial" w:hAnsi="Arial" w:cs="Arial"/>
                <w:b/>
                <w:bCs/>
              </w:rPr>
            </w:pPr>
            <w:r>
              <w:rPr>
                <w:rFonts w:ascii="Arial" w:hAnsi="Arial" w:cs="Arial"/>
                <w:b/>
                <w:bCs/>
              </w:rPr>
              <w:t>Our business is in a remote area and is too far from your school</w:t>
            </w:r>
            <w:r w:rsidR="00CB6E1A">
              <w:rPr>
                <w:rFonts w:ascii="Arial" w:hAnsi="Arial" w:cs="Arial"/>
                <w:b/>
                <w:bCs/>
              </w:rPr>
              <w:t>/college</w:t>
            </w:r>
            <w:r w:rsidR="00DE1679">
              <w:rPr>
                <w:rFonts w:ascii="Arial" w:hAnsi="Arial" w:cs="Arial"/>
                <w:b/>
                <w:bCs/>
              </w:rPr>
              <w:t>.</w:t>
            </w:r>
          </w:p>
        </w:tc>
        <w:tc>
          <w:tcPr>
            <w:tcW w:w="5953" w:type="dxa"/>
          </w:tcPr>
          <w:p w14:paraId="1EEE8D74" w14:textId="77777777" w:rsidR="00315CDA" w:rsidRDefault="00315CDA" w:rsidP="00C05E14">
            <w:pPr>
              <w:tabs>
                <w:tab w:val="num" w:pos="720"/>
              </w:tabs>
              <w:spacing w:before="120" w:after="120"/>
              <w:rPr>
                <w:rFonts w:ascii="Arial" w:hAnsi="Arial" w:cs="Arial"/>
              </w:rPr>
            </w:pPr>
            <w:r w:rsidRPr="00315CDA">
              <w:rPr>
                <w:rFonts w:ascii="Arial" w:hAnsi="Arial" w:cs="Arial"/>
              </w:rPr>
              <w:t>B</w:t>
            </w:r>
            <w:r w:rsidRPr="00315CDA">
              <w:rPr>
                <w:rFonts w:ascii="Arial" w:hAnsi="Arial" w:cs="Arial"/>
              </w:rPr>
              <w:t>usinesses</w:t>
            </w:r>
            <w:r w:rsidRPr="00315CDA">
              <w:rPr>
                <w:rFonts w:ascii="Arial" w:hAnsi="Arial" w:cs="Arial"/>
              </w:rPr>
              <w:t xml:space="preserve"> like yours</w:t>
            </w:r>
            <w:r w:rsidRPr="00315CDA">
              <w:rPr>
                <w:rFonts w:ascii="Arial" w:hAnsi="Arial" w:cs="Arial"/>
              </w:rPr>
              <w:t xml:space="preserve"> in rural, coastal and </w:t>
            </w:r>
            <w:r w:rsidRPr="00315CDA">
              <w:rPr>
                <w:rFonts w:ascii="Arial" w:hAnsi="Arial" w:cs="Arial"/>
              </w:rPr>
              <w:t xml:space="preserve">/ or </w:t>
            </w:r>
            <w:r w:rsidRPr="00315CDA">
              <w:rPr>
                <w:rFonts w:ascii="Arial" w:hAnsi="Arial" w:cs="Arial"/>
              </w:rPr>
              <w:t>remote locations know how hard it can be to recruit staff. Offering industry placements to students can be a great way to find new recruits locally and from surrounding areas.</w:t>
            </w:r>
            <w:r>
              <w:rPr>
                <w:rFonts w:ascii="Arial" w:hAnsi="Arial" w:cs="Arial"/>
              </w:rPr>
              <w:t xml:space="preserve"> </w:t>
            </w:r>
          </w:p>
          <w:p w14:paraId="66C0C8CF" w14:textId="28BC9E91" w:rsidR="00931279" w:rsidRPr="005E11AF" w:rsidRDefault="00315CDA" w:rsidP="00C05E14">
            <w:pPr>
              <w:tabs>
                <w:tab w:val="num" w:pos="720"/>
              </w:tabs>
              <w:spacing w:before="120" w:after="120"/>
              <w:rPr>
                <w:rFonts w:ascii="Arial" w:hAnsi="Arial" w:cs="Arial"/>
              </w:rPr>
            </w:pPr>
            <w:r>
              <w:rPr>
                <w:rFonts w:ascii="Arial" w:hAnsi="Arial" w:cs="Arial"/>
              </w:rPr>
              <w:t xml:space="preserve">There are several ways we can overcome </w:t>
            </w:r>
            <w:r w:rsidR="007C1DE3">
              <w:rPr>
                <w:rFonts w:ascii="Arial" w:hAnsi="Arial" w:cs="Arial"/>
              </w:rPr>
              <w:t>issues wit</w:t>
            </w:r>
            <w:r w:rsidR="009E7A53">
              <w:rPr>
                <w:rFonts w:ascii="Arial" w:hAnsi="Arial" w:cs="Arial"/>
              </w:rPr>
              <w:t>h students travelling to an industry placement and t</w:t>
            </w:r>
            <w:r w:rsidR="00CC6895">
              <w:rPr>
                <w:rFonts w:ascii="Arial" w:hAnsi="Arial" w:cs="Arial"/>
              </w:rPr>
              <w:t xml:space="preserve">his might not be a problem as many of our students travel long distances to get to </w:t>
            </w:r>
            <w:r w:rsidR="00931279">
              <w:rPr>
                <w:rFonts w:ascii="Arial" w:hAnsi="Arial" w:cs="Arial"/>
              </w:rPr>
              <w:t>us</w:t>
            </w:r>
            <w:r w:rsidR="009E7A53">
              <w:rPr>
                <w:rFonts w:ascii="Arial" w:hAnsi="Arial" w:cs="Arial"/>
              </w:rPr>
              <w:t xml:space="preserve"> so, t</w:t>
            </w:r>
            <w:r w:rsidR="00CC6895">
              <w:rPr>
                <w:rFonts w:ascii="Arial" w:hAnsi="Arial" w:cs="Arial"/>
              </w:rPr>
              <w:t xml:space="preserve">his placement could </w:t>
            </w:r>
            <w:r w:rsidR="00931279">
              <w:rPr>
                <w:rFonts w:ascii="Arial" w:hAnsi="Arial" w:cs="Arial"/>
              </w:rPr>
              <w:t>end</w:t>
            </w:r>
            <w:r w:rsidR="00CC6895">
              <w:rPr>
                <w:rFonts w:ascii="Arial" w:hAnsi="Arial" w:cs="Arial"/>
              </w:rPr>
              <w:t xml:space="preserve"> up being quite local for them.</w:t>
            </w:r>
          </w:p>
        </w:tc>
        <w:tc>
          <w:tcPr>
            <w:tcW w:w="4592" w:type="dxa"/>
          </w:tcPr>
          <w:p w14:paraId="0CE48DDC" w14:textId="21A89D6A" w:rsidR="00CC6895" w:rsidRPr="006B4849" w:rsidRDefault="006B4849" w:rsidP="00C05E14">
            <w:pPr>
              <w:spacing w:before="120" w:after="120"/>
              <w:rPr>
                <w:rFonts w:ascii="Arial" w:hAnsi="Arial" w:cs="Arial"/>
              </w:rPr>
            </w:pPr>
            <w:hyperlink r:id="rId10" w:history="1">
              <w:r w:rsidRPr="006B4849">
                <w:rPr>
                  <w:rStyle w:val="Hyperlink"/>
                  <w:rFonts w:ascii="Arial" w:hAnsi="Arial" w:cs="Arial"/>
                </w:rPr>
                <w:t>Providing industry placements in rural and remote areas</w:t>
              </w:r>
            </w:hyperlink>
          </w:p>
        </w:tc>
      </w:tr>
      <w:tr w:rsidR="00664BC0" w:rsidRPr="00B711FA" w14:paraId="4F294621" w14:textId="77777777" w:rsidTr="00C05E14">
        <w:trPr>
          <w:cantSplit/>
        </w:trPr>
        <w:tc>
          <w:tcPr>
            <w:tcW w:w="3685" w:type="dxa"/>
          </w:tcPr>
          <w:p w14:paraId="34A5FC07" w14:textId="528C687C" w:rsidR="00664BC0" w:rsidRDefault="00664BC0" w:rsidP="00C05E14">
            <w:pPr>
              <w:spacing w:before="120" w:after="120"/>
              <w:rPr>
                <w:rFonts w:ascii="Arial" w:hAnsi="Arial" w:cs="Arial"/>
                <w:b/>
                <w:bCs/>
              </w:rPr>
            </w:pPr>
            <w:r>
              <w:rPr>
                <w:rFonts w:ascii="Arial" w:hAnsi="Arial" w:cs="Arial"/>
                <w:b/>
                <w:bCs/>
              </w:rPr>
              <w:t>Our business is in a remote area and local transport routes do not follow typical working day patterns</w:t>
            </w:r>
            <w:r w:rsidR="00DE1679">
              <w:rPr>
                <w:rFonts w:ascii="Arial" w:hAnsi="Arial" w:cs="Arial"/>
                <w:b/>
                <w:bCs/>
              </w:rPr>
              <w:t>.</w:t>
            </w:r>
          </w:p>
        </w:tc>
        <w:tc>
          <w:tcPr>
            <w:tcW w:w="5953" w:type="dxa"/>
          </w:tcPr>
          <w:p w14:paraId="7C67BD93" w14:textId="1A797E8D" w:rsidR="00664BC0" w:rsidRPr="005E11AF" w:rsidRDefault="00664BC0" w:rsidP="00C05E14">
            <w:pPr>
              <w:spacing w:before="120" w:after="120"/>
              <w:rPr>
                <w:rFonts w:ascii="Arial" w:hAnsi="Arial" w:cs="Arial"/>
              </w:rPr>
            </w:pPr>
            <w:r>
              <w:rPr>
                <w:rFonts w:ascii="Arial" w:hAnsi="Arial" w:cs="Arial"/>
              </w:rPr>
              <w:t xml:space="preserve">We </w:t>
            </w:r>
            <w:r w:rsidR="009E7A53">
              <w:rPr>
                <w:rFonts w:ascii="Arial" w:hAnsi="Arial" w:cs="Arial"/>
              </w:rPr>
              <w:t>will</w:t>
            </w:r>
            <w:r>
              <w:rPr>
                <w:rFonts w:ascii="Arial" w:hAnsi="Arial" w:cs="Arial"/>
              </w:rPr>
              <w:t xml:space="preserve"> work with you to m</w:t>
            </w:r>
            <w:r w:rsidRPr="005E11AF">
              <w:rPr>
                <w:rFonts w:ascii="Arial" w:hAnsi="Arial" w:cs="Arial"/>
              </w:rPr>
              <w:t xml:space="preserve">atch the hours of the placement to public transport timetables </w:t>
            </w:r>
            <w:r>
              <w:rPr>
                <w:rFonts w:ascii="Arial" w:hAnsi="Arial" w:cs="Arial"/>
              </w:rPr>
              <w:t xml:space="preserve">(or indeed to </w:t>
            </w:r>
            <w:r w:rsidRPr="005E11AF">
              <w:rPr>
                <w:rFonts w:ascii="Arial" w:hAnsi="Arial" w:cs="Arial"/>
              </w:rPr>
              <w:t>times when lifts or car sharing are available</w:t>
            </w:r>
            <w:r>
              <w:rPr>
                <w:rFonts w:ascii="Arial" w:hAnsi="Arial" w:cs="Arial"/>
              </w:rPr>
              <w:t>)</w:t>
            </w:r>
            <w:r w:rsidRPr="005E11AF">
              <w:rPr>
                <w:rFonts w:ascii="Arial" w:hAnsi="Arial" w:cs="Arial"/>
              </w:rPr>
              <w:t>.</w:t>
            </w:r>
          </w:p>
          <w:p w14:paraId="783154E9" w14:textId="5A353F26" w:rsidR="00664BC0" w:rsidRDefault="00664BC0" w:rsidP="00C05E14">
            <w:pPr>
              <w:spacing w:before="120" w:after="120"/>
              <w:rPr>
                <w:rFonts w:ascii="Arial" w:hAnsi="Arial" w:cs="Arial"/>
              </w:rPr>
            </w:pPr>
            <w:r>
              <w:rPr>
                <w:rFonts w:ascii="Arial" w:hAnsi="Arial" w:cs="Arial"/>
              </w:rPr>
              <w:t>We will p</w:t>
            </w:r>
            <w:r w:rsidRPr="005E11AF">
              <w:rPr>
                <w:rFonts w:ascii="Arial" w:hAnsi="Arial" w:cs="Arial"/>
              </w:rPr>
              <w:t xml:space="preserve">rovide </w:t>
            </w:r>
            <w:r>
              <w:rPr>
                <w:rFonts w:ascii="Arial" w:hAnsi="Arial" w:cs="Arial"/>
              </w:rPr>
              <w:t xml:space="preserve">the student with </w:t>
            </w:r>
            <w:r w:rsidRPr="005E11AF">
              <w:rPr>
                <w:rFonts w:ascii="Arial" w:hAnsi="Arial" w:cs="Arial"/>
              </w:rPr>
              <w:t xml:space="preserve">accurate, up-to-date public transport information – </w:t>
            </w:r>
            <w:r>
              <w:rPr>
                <w:rFonts w:ascii="Arial" w:hAnsi="Arial" w:cs="Arial"/>
              </w:rPr>
              <w:t xml:space="preserve">and </w:t>
            </w:r>
            <w:r w:rsidRPr="005E11AF">
              <w:rPr>
                <w:rFonts w:ascii="Arial" w:hAnsi="Arial" w:cs="Arial"/>
              </w:rPr>
              <w:t xml:space="preserve">in the placement role description, so students know </w:t>
            </w:r>
            <w:r>
              <w:rPr>
                <w:rFonts w:ascii="Arial" w:hAnsi="Arial" w:cs="Arial"/>
              </w:rPr>
              <w:t xml:space="preserve">all </w:t>
            </w:r>
            <w:r w:rsidRPr="005E11AF">
              <w:rPr>
                <w:rFonts w:ascii="Arial" w:hAnsi="Arial" w:cs="Arial"/>
              </w:rPr>
              <w:t>about the</w:t>
            </w:r>
            <w:r>
              <w:rPr>
                <w:rFonts w:ascii="Arial" w:hAnsi="Arial" w:cs="Arial"/>
              </w:rPr>
              <w:t xml:space="preserve"> travel situation before </w:t>
            </w:r>
            <w:r w:rsidRPr="005E11AF">
              <w:rPr>
                <w:rFonts w:ascii="Arial" w:hAnsi="Arial" w:cs="Arial"/>
              </w:rPr>
              <w:t>applying</w:t>
            </w:r>
            <w:r>
              <w:rPr>
                <w:rFonts w:ascii="Arial" w:hAnsi="Arial" w:cs="Arial"/>
              </w:rPr>
              <w:t xml:space="preserve"> for the placement.</w:t>
            </w:r>
          </w:p>
          <w:p w14:paraId="5EC26CB0" w14:textId="396C5E75" w:rsidR="00664BC0" w:rsidRPr="00664BC0" w:rsidRDefault="00664BC0" w:rsidP="00C05E14">
            <w:pPr>
              <w:spacing w:before="120" w:after="120"/>
              <w:rPr>
                <w:rFonts w:ascii="Arial" w:hAnsi="Arial" w:cs="Arial"/>
              </w:rPr>
            </w:pPr>
            <w:r>
              <w:rPr>
                <w:rFonts w:ascii="Arial" w:hAnsi="Arial" w:cs="Arial"/>
              </w:rPr>
              <w:t>We can always c</w:t>
            </w:r>
            <w:r w:rsidRPr="005E11AF">
              <w:rPr>
                <w:rFonts w:ascii="Arial" w:hAnsi="Arial" w:cs="Arial"/>
              </w:rPr>
              <w:t>onsider a short work trial before signing the student onto the placement, so they can test the journey and timings.</w:t>
            </w:r>
          </w:p>
        </w:tc>
        <w:tc>
          <w:tcPr>
            <w:tcW w:w="4592" w:type="dxa"/>
          </w:tcPr>
          <w:p w14:paraId="63D0751A" w14:textId="77777777" w:rsidR="00664BC0" w:rsidRPr="00C1707D" w:rsidRDefault="00664BC0" w:rsidP="00C05E14">
            <w:pPr>
              <w:spacing w:before="120" w:after="120"/>
              <w:rPr>
                <w:rFonts w:ascii="Arial" w:hAnsi="Arial" w:cs="Arial"/>
                <w:i/>
                <w:iCs/>
              </w:rPr>
            </w:pPr>
          </w:p>
        </w:tc>
      </w:tr>
      <w:tr w:rsidR="00664BC0" w:rsidRPr="00B711FA" w14:paraId="63A0C8FE" w14:textId="77777777" w:rsidTr="00C05E14">
        <w:trPr>
          <w:cantSplit/>
        </w:trPr>
        <w:tc>
          <w:tcPr>
            <w:tcW w:w="3685" w:type="dxa"/>
          </w:tcPr>
          <w:p w14:paraId="62457D3C" w14:textId="6F913529" w:rsidR="00664BC0" w:rsidRDefault="00CC6895" w:rsidP="00C05E14">
            <w:pPr>
              <w:spacing w:before="120" w:after="120"/>
              <w:rPr>
                <w:rFonts w:ascii="Arial" w:hAnsi="Arial" w:cs="Arial"/>
                <w:b/>
                <w:bCs/>
              </w:rPr>
            </w:pPr>
            <w:r>
              <w:rPr>
                <w:rFonts w:ascii="Arial" w:hAnsi="Arial" w:cs="Arial"/>
                <w:b/>
                <w:bCs/>
              </w:rPr>
              <w:lastRenderedPageBreak/>
              <w:t>Being so remote the transport costs to get here will be too much for the student</w:t>
            </w:r>
            <w:r w:rsidR="00DE1679">
              <w:rPr>
                <w:rFonts w:ascii="Arial" w:hAnsi="Arial" w:cs="Arial"/>
                <w:b/>
                <w:bCs/>
              </w:rPr>
              <w:t>.</w:t>
            </w:r>
          </w:p>
        </w:tc>
        <w:tc>
          <w:tcPr>
            <w:tcW w:w="5953" w:type="dxa"/>
          </w:tcPr>
          <w:p w14:paraId="1EE25E03" w14:textId="5B9026C5" w:rsidR="00664BC0" w:rsidRDefault="00CC6895" w:rsidP="00C05E14">
            <w:pPr>
              <w:spacing w:before="120" w:after="120"/>
              <w:rPr>
                <w:rFonts w:ascii="Arial" w:hAnsi="Arial" w:cs="Arial"/>
              </w:rPr>
            </w:pPr>
            <w:r>
              <w:rPr>
                <w:rFonts w:ascii="Arial" w:hAnsi="Arial" w:cs="Arial"/>
              </w:rPr>
              <w:t>W</w:t>
            </w:r>
            <w:r w:rsidR="00D64F67">
              <w:rPr>
                <w:rFonts w:ascii="Arial" w:hAnsi="Arial" w:cs="Arial"/>
              </w:rPr>
              <w:t>here appropriat</w:t>
            </w:r>
            <w:r>
              <w:rPr>
                <w:rFonts w:ascii="Arial" w:hAnsi="Arial" w:cs="Arial"/>
              </w:rPr>
              <w:t>e</w:t>
            </w:r>
            <w:r w:rsidR="00D64F67">
              <w:rPr>
                <w:rFonts w:ascii="Arial" w:hAnsi="Arial" w:cs="Arial"/>
              </w:rPr>
              <w:t xml:space="preserve"> we may be able to</w:t>
            </w:r>
            <w:r>
              <w:rPr>
                <w:rFonts w:ascii="Arial" w:hAnsi="Arial" w:cs="Arial"/>
              </w:rPr>
              <w:t xml:space="preserve"> r</w:t>
            </w:r>
            <w:r w:rsidR="00664BC0" w:rsidRPr="005E11AF">
              <w:rPr>
                <w:rFonts w:ascii="Arial" w:hAnsi="Arial" w:cs="Arial"/>
              </w:rPr>
              <w:t>eimburse all or some of the costs of transport</w:t>
            </w:r>
            <w:r>
              <w:rPr>
                <w:rFonts w:ascii="Arial" w:hAnsi="Arial" w:cs="Arial"/>
              </w:rPr>
              <w:t xml:space="preserve"> through funding that is available for the placement.</w:t>
            </w:r>
          </w:p>
        </w:tc>
        <w:tc>
          <w:tcPr>
            <w:tcW w:w="4592" w:type="dxa"/>
          </w:tcPr>
          <w:p w14:paraId="6D3D4C30" w14:textId="77777777" w:rsidR="00664BC0" w:rsidRPr="00C1707D" w:rsidRDefault="00664BC0" w:rsidP="00C05E14">
            <w:pPr>
              <w:spacing w:before="120" w:after="120"/>
              <w:rPr>
                <w:rFonts w:ascii="Arial" w:hAnsi="Arial" w:cs="Arial"/>
                <w:i/>
                <w:iCs/>
              </w:rPr>
            </w:pPr>
          </w:p>
        </w:tc>
      </w:tr>
      <w:tr w:rsidR="00CC6895" w:rsidRPr="00B711FA" w14:paraId="7958A128" w14:textId="77777777" w:rsidTr="00C05E14">
        <w:trPr>
          <w:cantSplit/>
        </w:trPr>
        <w:tc>
          <w:tcPr>
            <w:tcW w:w="3685" w:type="dxa"/>
          </w:tcPr>
          <w:p w14:paraId="4C710158" w14:textId="77777777" w:rsidR="00CC6895" w:rsidRDefault="00CC6895" w:rsidP="00C05E14">
            <w:pPr>
              <w:spacing w:before="120" w:after="120"/>
              <w:rPr>
                <w:rFonts w:ascii="Arial" w:hAnsi="Arial" w:cs="Arial"/>
                <w:b/>
                <w:bCs/>
              </w:rPr>
            </w:pPr>
            <w:r>
              <w:rPr>
                <w:rFonts w:ascii="Arial" w:hAnsi="Arial" w:cs="Arial"/>
                <w:b/>
                <w:bCs/>
              </w:rPr>
              <w:t>Because we are so remote can we do the placement virtually?</w:t>
            </w:r>
          </w:p>
        </w:tc>
        <w:tc>
          <w:tcPr>
            <w:tcW w:w="5953" w:type="dxa"/>
          </w:tcPr>
          <w:p w14:paraId="3940043A" w14:textId="77777777" w:rsidR="000D2095" w:rsidRPr="00BB70E2" w:rsidRDefault="000D2095" w:rsidP="000D2095">
            <w:pPr>
              <w:pStyle w:val="NormalWeb"/>
              <w:spacing w:before="120" w:beforeAutospacing="0" w:after="120" w:afterAutospacing="0"/>
              <w:rPr>
                <w:rFonts w:ascii="Arial" w:eastAsiaTheme="minorHAnsi" w:hAnsi="Arial" w:cs="Arial"/>
                <w:kern w:val="2"/>
                <w:lang w:eastAsia="en-US"/>
                <w14:ligatures w14:val="standardContextual"/>
              </w:rPr>
            </w:pPr>
            <w:r w:rsidRPr="00BB70E2">
              <w:rPr>
                <w:rFonts w:ascii="Arial" w:eastAsiaTheme="minorHAnsi" w:hAnsi="Arial" w:cs="Arial"/>
                <w:kern w:val="2"/>
                <w:lang w:eastAsia="en-US"/>
                <w14:ligatures w14:val="standardContextual"/>
              </w:rPr>
              <w:t>We understand that many jobs now have hybrid working arrangements, but we are only allowed to give students up to one fifth (20%) of their total industry placement hours delivered remotely.*</w:t>
            </w:r>
          </w:p>
          <w:p w14:paraId="747CE2AB" w14:textId="279A2D8D" w:rsidR="000D2095" w:rsidRPr="003E224B" w:rsidRDefault="000D2095" w:rsidP="003E224B">
            <w:pPr>
              <w:pStyle w:val="NormalWeb"/>
              <w:spacing w:before="120" w:beforeAutospacing="0" w:after="120" w:afterAutospacing="0"/>
              <w:rPr>
                <w:rFonts w:ascii="Arial" w:eastAsiaTheme="minorHAnsi" w:hAnsi="Arial" w:cs="Arial"/>
                <w:kern w:val="2"/>
                <w:lang w:eastAsia="en-US"/>
                <w14:ligatures w14:val="standardContextual"/>
              </w:rPr>
            </w:pPr>
            <w:r w:rsidRPr="00BB70E2">
              <w:rPr>
                <w:rFonts w:ascii="Arial" w:eastAsiaTheme="minorHAnsi" w:hAnsi="Arial" w:cs="Arial"/>
                <w:kern w:val="2"/>
                <w:lang w:eastAsia="en-US"/>
                <w14:ligatures w14:val="standardContextual"/>
              </w:rPr>
              <w:t>We will agree together which elements of the placement can be achieved through remote working.</w:t>
            </w:r>
          </w:p>
          <w:p w14:paraId="1FDE44E6" w14:textId="67ADCF75" w:rsidR="00AC3520" w:rsidRDefault="00D73254" w:rsidP="00C05E14">
            <w:pPr>
              <w:spacing w:before="120" w:after="120"/>
              <w:rPr>
                <w:rFonts w:ascii="Arial" w:hAnsi="Arial" w:cs="Arial"/>
              </w:rPr>
            </w:pPr>
            <w:r>
              <w:rPr>
                <w:rFonts w:ascii="Arial" w:hAnsi="Arial" w:cs="Arial"/>
              </w:rPr>
              <w:t>In addition,</w:t>
            </w:r>
            <w:r w:rsidR="00CC6895" w:rsidRPr="002D35F6">
              <w:rPr>
                <w:rFonts w:ascii="Arial" w:hAnsi="Arial" w:cs="Arial"/>
              </w:rPr>
              <w:t xml:space="preserve"> up to a maximum of 35 hours of work taster activities can be counted towards students’ placement hours, which c</w:t>
            </w:r>
            <w:r w:rsidR="00CC6895">
              <w:rPr>
                <w:rFonts w:ascii="Arial" w:hAnsi="Arial" w:cs="Arial"/>
              </w:rPr>
              <w:t xml:space="preserve">ould be delivered </w:t>
            </w:r>
            <w:r w:rsidR="00CC6895" w:rsidRPr="002D35F6">
              <w:rPr>
                <w:rFonts w:ascii="Arial" w:hAnsi="Arial" w:cs="Arial"/>
              </w:rPr>
              <w:t>virtual</w:t>
            </w:r>
            <w:r w:rsidR="00CC6895">
              <w:rPr>
                <w:rFonts w:ascii="Arial" w:hAnsi="Arial" w:cs="Arial"/>
              </w:rPr>
              <w:t>ly.</w:t>
            </w:r>
          </w:p>
          <w:p w14:paraId="57666F44" w14:textId="49D54C27" w:rsidR="00AC3520" w:rsidRDefault="00CC6895" w:rsidP="00C05E14">
            <w:pPr>
              <w:spacing w:before="120" w:after="120"/>
              <w:rPr>
                <w:rFonts w:ascii="Arial" w:hAnsi="Arial" w:cs="Arial"/>
              </w:rPr>
            </w:pPr>
            <w:r>
              <w:rPr>
                <w:rFonts w:ascii="Arial" w:hAnsi="Arial" w:cs="Arial"/>
              </w:rPr>
              <w:t xml:space="preserve">The </w:t>
            </w:r>
            <w:r w:rsidRPr="002D35F6">
              <w:rPr>
                <w:rFonts w:ascii="Arial" w:hAnsi="Arial" w:cs="Arial"/>
              </w:rPr>
              <w:t xml:space="preserve">purpose </w:t>
            </w:r>
            <w:r>
              <w:rPr>
                <w:rFonts w:ascii="Arial" w:hAnsi="Arial" w:cs="Arial"/>
              </w:rPr>
              <w:t xml:space="preserve">of the work taster hours is </w:t>
            </w:r>
            <w:r w:rsidRPr="002D35F6">
              <w:rPr>
                <w:rFonts w:ascii="Arial" w:hAnsi="Arial" w:cs="Arial"/>
              </w:rPr>
              <w:t>to help students gain a better understanding of the industry</w:t>
            </w:r>
            <w:r>
              <w:rPr>
                <w:rFonts w:ascii="Arial" w:hAnsi="Arial" w:cs="Arial"/>
              </w:rPr>
              <w:t>,</w:t>
            </w:r>
            <w:r w:rsidRPr="002D35F6">
              <w:rPr>
                <w:rFonts w:ascii="Arial" w:hAnsi="Arial" w:cs="Arial"/>
              </w:rPr>
              <w:t xml:space="preserve"> prepare them for their placement</w:t>
            </w:r>
            <w:r>
              <w:rPr>
                <w:rFonts w:ascii="Arial" w:hAnsi="Arial" w:cs="Arial"/>
              </w:rPr>
              <w:t xml:space="preserve"> and </w:t>
            </w:r>
            <w:r w:rsidRPr="002D35F6">
              <w:rPr>
                <w:rFonts w:ascii="Arial" w:hAnsi="Arial" w:cs="Arial"/>
              </w:rPr>
              <w:t xml:space="preserve">help employers assess a learner’s suitability before committing to a placement. </w:t>
            </w:r>
          </w:p>
          <w:p w14:paraId="20A02620" w14:textId="77777777" w:rsidR="00CC6895" w:rsidRDefault="00CC6895" w:rsidP="00C05E14">
            <w:pPr>
              <w:spacing w:before="120" w:after="120"/>
              <w:rPr>
                <w:rFonts w:ascii="Arial" w:hAnsi="Arial" w:cs="Arial"/>
              </w:rPr>
            </w:pPr>
            <w:r>
              <w:rPr>
                <w:rFonts w:ascii="Arial" w:hAnsi="Arial" w:cs="Arial"/>
              </w:rPr>
              <w:t>Activities could include activ</w:t>
            </w:r>
            <w:r w:rsidRPr="002D35F6">
              <w:rPr>
                <w:rFonts w:ascii="Arial" w:hAnsi="Arial" w:cs="Arial"/>
              </w:rPr>
              <w:t>ities such as job-shadowing, introductory meetings with employees, virtual tours of the workplace, completion of on-the-job mandatory training and induction to the workplace company policies.</w:t>
            </w:r>
          </w:p>
          <w:p w14:paraId="09599085" w14:textId="77777777" w:rsidR="008F79DB" w:rsidRDefault="008F79DB" w:rsidP="00C05E14">
            <w:pPr>
              <w:spacing w:before="120" w:after="120"/>
              <w:rPr>
                <w:rFonts w:ascii="Arial" w:hAnsi="Arial" w:cs="Arial"/>
              </w:rPr>
            </w:pPr>
          </w:p>
          <w:p w14:paraId="32D03E77" w14:textId="77777777" w:rsidR="008F79DB" w:rsidRDefault="008F79DB" w:rsidP="00C05E14">
            <w:pPr>
              <w:spacing w:before="120" w:after="120"/>
              <w:rPr>
                <w:rFonts w:ascii="Arial" w:hAnsi="Arial" w:cs="Arial"/>
              </w:rPr>
            </w:pPr>
          </w:p>
          <w:p w14:paraId="2930B73A" w14:textId="04B2295F" w:rsidR="00555920" w:rsidRPr="00AD493B" w:rsidRDefault="00555920" w:rsidP="00C05E14">
            <w:pPr>
              <w:spacing w:before="120" w:after="120"/>
              <w:rPr>
                <w:rFonts w:ascii="Arial" w:hAnsi="Arial" w:cs="Arial"/>
              </w:rPr>
            </w:pPr>
          </w:p>
        </w:tc>
        <w:tc>
          <w:tcPr>
            <w:tcW w:w="4592" w:type="dxa"/>
          </w:tcPr>
          <w:p w14:paraId="3DC782E8" w14:textId="77777777" w:rsidR="00BB70E2" w:rsidRPr="00105536" w:rsidRDefault="00BB70E2" w:rsidP="00BB70E2">
            <w:pPr>
              <w:pStyle w:val="NormalWeb"/>
              <w:spacing w:before="120" w:beforeAutospacing="0" w:after="120" w:afterAutospacing="0"/>
              <w:rPr>
                <w:rFonts w:ascii="Arial" w:eastAsiaTheme="minorHAnsi" w:hAnsi="Arial" w:cs="Arial"/>
                <w:kern w:val="2"/>
                <w:lang w:eastAsia="en-US"/>
                <w14:ligatures w14:val="standardContextual"/>
              </w:rPr>
            </w:pPr>
            <w:r w:rsidRPr="00105536">
              <w:rPr>
                <w:rFonts w:ascii="Arial" w:eastAsiaTheme="minorHAnsi" w:hAnsi="Arial" w:cs="Arial"/>
                <w:kern w:val="2"/>
                <w:lang w:eastAsia="en-US"/>
                <w14:ligatures w14:val="standardContextual"/>
              </w:rPr>
              <w:t>The 20% rule applies to the following T levels:</w:t>
            </w:r>
          </w:p>
          <w:p w14:paraId="29F5D7AC" w14:textId="77777777" w:rsidR="00BB70E2" w:rsidRPr="00105536" w:rsidRDefault="00BB70E2" w:rsidP="00BB70E2">
            <w:pPr>
              <w:numPr>
                <w:ilvl w:val="0"/>
                <w:numId w:val="4"/>
              </w:numPr>
              <w:spacing w:before="120" w:after="120"/>
              <w:rPr>
                <w:rFonts w:ascii="Arial" w:hAnsi="Arial" w:cs="Arial"/>
              </w:rPr>
            </w:pPr>
            <w:r w:rsidRPr="00105536">
              <w:rPr>
                <w:rFonts w:ascii="Arial" w:hAnsi="Arial" w:cs="Arial"/>
              </w:rPr>
              <w:t>Digital (All T levels)</w:t>
            </w:r>
          </w:p>
          <w:p w14:paraId="575FAFB5" w14:textId="77777777" w:rsidR="00BB70E2" w:rsidRPr="00105536" w:rsidRDefault="00BB70E2" w:rsidP="00BB70E2">
            <w:pPr>
              <w:numPr>
                <w:ilvl w:val="0"/>
                <w:numId w:val="4"/>
              </w:numPr>
              <w:spacing w:before="120" w:after="120"/>
              <w:rPr>
                <w:rFonts w:ascii="Arial" w:hAnsi="Arial" w:cs="Arial"/>
              </w:rPr>
            </w:pPr>
            <w:r w:rsidRPr="00105536">
              <w:rPr>
                <w:rFonts w:ascii="Arial" w:hAnsi="Arial" w:cs="Arial"/>
              </w:rPr>
              <w:t>Accounting</w:t>
            </w:r>
          </w:p>
          <w:p w14:paraId="0CE4A4E0" w14:textId="77777777" w:rsidR="00BB70E2" w:rsidRPr="00105536" w:rsidRDefault="00BB70E2" w:rsidP="00BB70E2">
            <w:pPr>
              <w:numPr>
                <w:ilvl w:val="0"/>
                <w:numId w:val="4"/>
              </w:numPr>
              <w:spacing w:before="120" w:after="120"/>
              <w:rPr>
                <w:rFonts w:ascii="Arial" w:hAnsi="Arial" w:cs="Arial"/>
              </w:rPr>
            </w:pPr>
            <w:r w:rsidRPr="00105536">
              <w:rPr>
                <w:rFonts w:ascii="Arial" w:hAnsi="Arial" w:cs="Arial"/>
              </w:rPr>
              <w:t>Finance</w:t>
            </w:r>
          </w:p>
          <w:p w14:paraId="3A95CAFD" w14:textId="77777777" w:rsidR="00BB70E2" w:rsidRPr="00105536" w:rsidRDefault="00BB70E2" w:rsidP="00BB70E2">
            <w:pPr>
              <w:numPr>
                <w:ilvl w:val="0"/>
                <w:numId w:val="4"/>
              </w:numPr>
              <w:spacing w:before="120" w:after="120"/>
              <w:rPr>
                <w:rFonts w:ascii="Arial" w:hAnsi="Arial" w:cs="Arial"/>
              </w:rPr>
            </w:pPr>
            <w:r w:rsidRPr="00105536">
              <w:rPr>
                <w:rFonts w:ascii="Arial" w:hAnsi="Arial" w:cs="Arial"/>
              </w:rPr>
              <w:t>Legal Services</w:t>
            </w:r>
          </w:p>
          <w:p w14:paraId="1F992CCB" w14:textId="77777777" w:rsidR="00BB70E2" w:rsidRPr="00105536" w:rsidRDefault="00BB70E2" w:rsidP="00BB70E2">
            <w:pPr>
              <w:numPr>
                <w:ilvl w:val="0"/>
                <w:numId w:val="4"/>
              </w:numPr>
              <w:spacing w:before="120" w:after="120"/>
              <w:rPr>
                <w:rFonts w:ascii="Arial" w:hAnsi="Arial" w:cs="Arial"/>
              </w:rPr>
            </w:pPr>
            <w:r w:rsidRPr="00105536">
              <w:rPr>
                <w:rFonts w:ascii="Arial" w:hAnsi="Arial" w:cs="Arial"/>
              </w:rPr>
              <w:t>Management and Administration</w:t>
            </w:r>
          </w:p>
          <w:p w14:paraId="52583C44" w14:textId="77777777" w:rsidR="00BB70E2" w:rsidRPr="00105536" w:rsidRDefault="00BB70E2" w:rsidP="00BB70E2">
            <w:pPr>
              <w:numPr>
                <w:ilvl w:val="0"/>
                <w:numId w:val="4"/>
              </w:numPr>
              <w:spacing w:before="120" w:after="120"/>
              <w:rPr>
                <w:rFonts w:ascii="Arial" w:hAnsi="Arial" w:cs="Arial"/>
              </w:rPr>
            </w:pPr>
            <w:r w:rsidRPr="00105536">
              <w:rPr>
                <w:rFonts w:ascii="Arial" w:hAnsi="Arial" w:cs="Arial"/>
              </w:rPr>
              <w:t>Media, Broadcast and Production</w:t>
            </w:r>
          </w:p>
          <w:p w14:paraId="4CF1F534" w14:textId="1694F5F5" w:rsidR="00CC6895" w:rsidRPr="00105536" w:rsidRDefault="00105536" w:rsidP="00C05E14">
            <w:pPr>
              <w:spacing w:before="120" w:after="120"/>
              <w:rPr>
                <w:rFonts w:ascii="Arial" w:hAnsi="Arial" w:cs="Arial"/>
                <w:i/>
                <w:iCs/>
              </w:rPr>
            </w:pPr>
            <w:r w:rsidRPr="00105536">
              <w:rPr>
                <w:rStyle w:val="ui-provider"/>
                <w:rFonts w:ascii="Arial" w:hAnsi="Arial" w:cs="Arial"/>
              </w:rPr>
              <w:t>DfE further </w:t>
            </w:r>
            <w:hyperlink r:id="rId11" w:tgtFrame="_blank" w:tooltip="https://assets.publishing.service.gov.uk/media/649d43c345b6a2000c3d4515/annex_a_industry_placement_delivery_approaches_guidance.pdf" w:history="1">
              <w:r w:rsidRPr="00105536">
                <w:rPr>
                  <w:rStyle w:val="Hyperlink"/>
                  <w:rFonts w:ascii="Arial" w:hAnsi="Arial" w:cs="Arial"/>
                </w:rPr>
                <w:t>guidance</w:t>
              </w:r>
            </w:hyperlink>
            <w:r w:rsidRPr="00105536">
              <w:rPr>
                <w:rStyle w:val="ui-provider"/>
                <w:rFonts w:ascii="Arial" w:hAnsi="Arial" w:cs="Arial"/>
              </w:rPr>
              <w:t xml:space="preserve"> on rules.</w:t>
            </w:r>
          </w:p>
        </w:tc>
      </w:tr>
    </w:tbl>
    <w:p w14:paraId="1D1E5DD5" w14:textId="2EE0818F" w:rsidR="00C54F3B" w:rsidRPr="00996BE0" w:rsidRDefault="00C54F3B" w:rsidP="00C05E14">
      <w:pPr>
        <w:spacing w:before="120" w:after="120"/>
        <w:rPr>
          <w:rFonts w:ascii="Arial" w:hAnsi="Arial" w:cs="Arial"/>
          <w:b/>
          <w:bCs/>
          <w:i/>
          <w:iCs/>
          <w:color w:val="FF0000"/>
        </w:rPr>
      </w:pPr>
    </w:p>
    <w:p w14:paraId="55B88F8A" w14:textId="58E7B3D9" w:rsidR="00C54F3B" w:rsidRDefault="00664BC0" w:rsidP="00C05E14">
      <w:pPr>
        <w:spacing w:before="120" w:after="120"/>
        <w:rPr>
          <w:rFonts w:ascii="Arial" w:hAnsi="Arial" w:cs="Arial"/>
        </w:rPr>
      </w:pPr>
      <w:r>
        <w:rPr>
          <w:rFonts w:ascii="Arial" w:hAnsi="Arial" w:cs="Arial"/>
        </w:rPr>
        <w:lastRenderedPageBreak/>
        <w:t xml:space="preserve">Remember that if a </w:t>
      </w:r>
      <w:r w:rsidR="00984F0F">
        <w:rPr>
          <w:rFonts w:ascii="Arial" w:hAnsi="Arial" w:cs="Arial"/>
        </w:rPr>
        <w:t>b</w:t>
      </w:r>
      <w:r>
        <w:rPr>
          <w:rFonts w:ascii="Arial" w:hAnsi="Arial" w:cs="Arial"/>
        </w:rPr>
        <w:t>usiness in a remote area o</w:t>
      </w:r>
      <w:r w:rsidRPr="005E11AF">
        <w:rPr>
          <w:rFonts w:ascii="Arial" w:hAnsi="Arial" w:cs="Arial"/>
        </w:rPr>
        <w:t>ffer</w:t>
      </w:r>
      <w:r>
        <w:rPr>
          <w:rFonts w:ascii="Arial" w:hAnsi="Arial" w:cs="Arial"/>
        </w:rPr>
        <w:t>s an</w:t>
      </w:r>
      <w:r w:rsidRPr="005E11AF">
        <w:rPr>
          <w:rFonts w:ascii="Arial" w:hAnsi="Arial" w:cs="Arial"/>
        </w:rPr>
        <w:t xml:space="preserve"> industry placement</w:t>
      </w:r>
      <w:r>
        <w:rPr>
          <w:rFonts w:ascii="Arial" w:hAnsi="Arial" w:cs="Arial"/>
        </w:rPr>
        <w:t xml:space="preserve"> it could end up being a </w:t>
      </w:r>
      <w:r w:rsidRPr="005E11AF">
        <w:rPr>
          <w:rFonts w:ascii="Arial" w:hAnsi="Arial" w:cs="Arial"/>
        </w:rPr>
        <w:t xml:space="preserve">great way </w:t>
      </w:r>
      <w:r>
        <w:rPr>
          <w:rFonts w:ascii="Arial" w:hAnsi="Arial" w:cs="Arial"/>
        </w:rPr>
        <w:t xml:space="preserve">for the firm </w:t>
      </w:r>
      <w:r w:rsidRPr="005E11AF">
        <w:rPr>
          <w:rFonts w:ascii="Arial" w:hAnsi="Arial" w:cs="Arial"/>
        </w:rPr>
        <w:t>to find new recruits locally and from surrounding areas</w:t>
      </w:r>
      <w:r>
        <w:rPr>
          <w:rFonts w:ascii="Arial" w:hAnsi="Arial" w:cs="Arial"/>
        </w:rPr>
        <w:t>.</w:t>
      </w:r>
    </w:p>
    <w:p w14:paraId="069344CA" w14:textId="77777777" w:rsidR="00105536" w:rsidRDefault="00105536" w:rsidP="00C05E14">
      <w:pPr>
        <w:spacing w:before="120" w:after="120"/>
        <w:rPr>
          <w:rFonts w:ascii="Arial" w:hAnsi="Arial" w:cs="Arial"/>
        </w:rPr>
      </w:pPr>
    </w:p>
    <w:p w14:paraId="1CAE5997" w14:textId="5C1D57B8" w:rsidR="00105536" w:rsidRPr="00105536" w:rsidRDefault="00105536" w:rsidP="00105536">
      <w:pPr>
        <w:pStyle w:val="NormalWeb"/>
        <w:spacing w:after="120" w:afterAutospacing="0"/>
        <w:rPr>
          <w:rFonts w:ascii="Arial" w:hAnsi="Arial" w:cs="Arial"/>
        </w:rPr>
      </w:pPr>
      <w:r w:rsidRPr="00105536">
        <w:rPr>
          <w:rFonts w:ascii="Arial" w:hAnsi="Arial" w:cs="Arial"/>
        </w:rPr>
        <w:t>*Where a student is following the 20% rule it is up to the school/college to make sure that the location of the remote hours take place in a suitable environment e.g., a dedicated office space at the school. In exceptional cases, students are able to undertake placement hours from home if the provider is satisfied students have an appropriate environment to work from and there are no safeguarding concerns.</w:t>
      </w:r>
    </w:p>
    <w:p w14:paraId="67AFBE89" w14:textId="77777777" w:rsidR="00105536" w:rsidRPr="00105536" w:rsidRDefault="00105536" w:rsidP="00105536">
      <w:pPr>
        <w:pStyle w:val="NormalWeb"/>
        <w:spacing w:after="120" w:afterAutospacing="0"/>
        <w:rPr>
          <w:rFonts w:ascii="Arial" w:hAnsi="Arial" w:cs="Arial"/>
        </w:rPr>
      </w:pPr>
      <w:r w:rsidRPr="00105536">
        <w:rPr>
          <w:rFonts w:ascii="Arial" w:hAnsi="Arial" w:cs="Arial"/>
        </w:rPr>
        <w:t>Please note that placements on the Early Years Educator specialism in the </w:t>
      </w:r>
      <w:hyperlink r:id="rId12" w:tgtFrame="_blank" w:tooltip="https://www.tlevels.gov.uk/students/subjects/education" w:history="1">
        <w:r w:rsidRPr="00105536">
          <w:rPr>
            <w:rStyle w:val="Strong"/>
            <w:rFonts w:ascii="Arial" w:eastAsiaTheme="majorEastAsia" w:hAnsi="Arial" w:cs="Arial"/>
            <w:color w:val="0000FF"/>
            <w:u w:val="single"/>
          </w:rPr>
          <w:t>Education and Childcare</w:t>
        </w:r>
      </w:hyperlink>
      <w:r w:rsidRPr="00105536">
        <w:rPr>
          <w:rFonts w:ascii="Arial" w:hAnsi="Arial" w:cs="Arial"/>
        </w:rPr>
        <w:t> T Level and the Dental Nursing specialism in the </w:t>
      </w:r>
      <w:hyperlink r:id="rId13" w:tgtFrame="_blank" w:tooltip="https://www.tlevels.gov.uk/students/subjects/health" w:history="1">
        <w:r w:rsidRPr="00105536">
          <w:rPr>
            <w:rStyle w:val="Strong"/>
            <w:rFonts w:ascii="Arial" w:eastAsiaTheme="majorEastAsia" w:hAnsi="Arial" w:cs="Arial"/>
            <w:color w:val="0000FF"/>
            <w:u w:val="single"/>
          </w:rPr>
          <w:t>Health</w:t>
        </w:r>
      </w:hyperlink>
      <w:r w:rsidRPr="00105536">
        <w:rPr>
          <w:rFonts w:ascii="Arial" w:hAnsi="Arial" w:cs="Arial"/>
        </w:rPr>
        <w:t> T Level are subject to special rules. Please make sure you are familiar with them before discussing working hours with potential employers.</w:t>
      </w:r>
    </w:p>
    <w:p w14:paraId="771E203B" w14:textId="77777777" w:rsidR="00105536" w:rsidRPr="00996BE0" w:rsidRDefault="00105536" w:rsidP="00C05E14">
      <w:pPr>
        <w:spacing w:before="120" w:after="120"/>
        <w:rPr>
          <w:rFonts w:ascii="Arial" w:hAnsi="Arial" w:cs="Arial"/>
        </w:rPr>
      </w:pPr>
    </w:p>
    <w:p w14:paraId="59CBF93F" w14:textId="77777777" w:rsidR="00174EE8" w:rsidRDefault="00174EE8" w:rsidP="00C05E14">
      <w:pPr>
        <w:spacing w:before="120" w:after="120"/>
      </w:pPr>
    </w:p>
    <w:sectPr w:rsidR="00174EE8" w:rsidSect="00B46599">
      <w:headerReference w:type="default" r:id="rId14"/>
      <w:footerReference w:type="default" r:id="rId15"/>
      <w:pgSz w:w="16838" w:h="11906" w:orient="landscape" w:code="9"/>
      <w:pgMar w:top="1418" w:right="1418" w:bottom="851" w:left="1418"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087F" w14:textId="77777777" w:rsidR="00B46599" w:rsidRDefault="00B46599">
      <w:r>
        <w:separator/>
      </w:r>
    </w:p>
  </w:endnote>
  <w:endnote w:type="continuationSeparator" w:id="0">
    <w:p w14:paraId="1A5439AB" w14:textId="77777777" w:rsidR="00B46599" w:rsidRDefault="00B46599">
      <w:r>
        <w:continuationSeparator/>
      </w:r>
    </w:p>
  </w:endnote>
  <w:endnote w:type="continuationNotice" w:id="1">
    <w:p w14:paraId="0B15F60F" w14:textId="77777777" w:rsidR="00B46599" w:rsidRDefault="00B46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8295" w14:textId="77777777" w:rsidR="00A817A0" w:rsidRDefault="00AC3520">
    <w:pPr>
      <w:pStyle w:val="Footer"/>
    </w:pPr>
    <w:r>
      <w:rPr>
        <w:noProof/>
      </w:rPr>
      <w:drawing>
        <wp:inline distT="0" distB="0" distL="0" distR="0" wp14:anchorId="79F6B668" wp14:editId="08C0BE2D">
          <wp:extent cx="1104900" cy="381000"/>
          <wp:effectExtent l="0" t="0" r="0" b="0"/>
          <wp:docPr id="26058471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8471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0" cy="381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5071" w14:textId="77777777" w:rsidR="00B46599" w:rsidRDefault="00B46599">
      <w:r>
        <w:separator/>
      </w:r>
    </w:p>
  </w:footnote>
  <w:footnote w:type="continuationSeparator" w:id="0">
    <w:p w14:paraId="27857DFC" w14:textId="77777777" w:rsidR="00B46599" w:rsidRDefault="00B46599">
      <w:r>
        <w:continuationSeparator/>
      </w:r>
    </w:p>
  </w:footnote>
  <w:footnote w:type="continuationNotice" w:id="1">
    <w:p w14:paraId="52DA2FB4" w14:textId="77777777" w:rsidR="00B46599" w:rsidRDefault="00B465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602F" w14:textId="62EF38F3" w:rsidR="00A817A0" w:rsidRDefault="00AC3520" w:rsidP="00C05E14">
    <w:pPr>
      <w:pStyle w:val="Header"/>
      <w:spacing w:after="120"/>
    </w:pPr>
    <w:r>
      <w:rPr>
        <w:noProof/>
      </w:rPr>
      <w:drawing>
        <wp:inline distT="0" distB="0" distL="0" distR="0" wp14:anchorId="6A202DB1" wp14:editId="6F85C580">
          <wp:extent cx="1699939" cy="556351"/>
          <wp:effectExtent l="0" t="0" r="0" b="0"/>
          <wp:docPr id="1331129279"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29279"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6745" cy="57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17145"/>
    <w:multiLevelType w:val="multilevel"/>
    <w:tmpl w:val="4A9A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A245E"/>
    <w:multiLevelType w:val="hybridMultilevel"/>
    <w:tmpl w:val="9970E156"/>
    <w:lvl w:ilvl="0" w:tplc="C4B62F90">
      <w:start w:val="1"/>
      <w:numFmt w:val="lowerRoman"/>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BFA03CE"/>
    <w:multiLevelType w:val="multilevel"/>
    <w:tmpl w:val="34DA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2F4F34"/>
    <w:multiLevelType w:val="multilevel"/>
    <w:tmpl w:val="7984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6024407">
    <w:abstractNumId w:val="1"/>
  </w:num>
  <w:num w:numId="2" w16cid:durableId="1842965463">
    <w:abstractNumId w:val="2"/>
  </w:num>
  <w:num w:numId="3" w16cid:durableId="1608611543">
    <w:abstractNumId w:val="3"/>
  </w:num>
  <w:num w:numId="4" w16cid:durableId="1441295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3B"/>
    <w:rsid w:val="0000766D"/>
    <w:rsid w:val="000551B0"/>
    <w:rsid w:val="000D2095"/>
    <w:rsid w:val="00104F36"/>
    <w:rsid w:val="00105536"/>
    <w:rsid w:val="00174EE8"/>
    <w:rsid w:val="002057E6"/>
    <w:rsid w:val="002E2113"/>
    <w:rsid w:val="00315CDA"/>
    <w:rsid w:val="003E224B"/>
    <w:rsid w:val="004452D7"/>
    <w:rsid w:val="00524E37"/>
    <w:rsid w:val="00547711"/>
    <w:rsid w:val="00555920"/>
    <w:rsid w:val="00557EB1"/>
    <w:rsid w:val="00576A81"/>
    <w:rsid w:val="00664BC0"/>
    <w:rsid w:val="00675625"/>
    <w:rsid w:val="006B4849"/>
    <w:rsid w:val="007C1DE3"/>
    <w:rsid w:val="0084149B"/>
    <w:rsid w:val="008464F8"/>
    <w:rsid w:val="008F79DB"/>
    <w:rsid w:val="00931279"/>
    <w:rsid w:val="0095122C"/>
    <w:rsid w:val="00984ADA"/>
    <w:rsid w:val="00984F0F"/>
    <w:rsid w:val="009E2AF0"/>
    <w:rsid w:val="009E7A53"/>
    <w:rsid w:val="00A270DF"/>
    <w:rsid w:val="00A817A0"/>
    <w:rsid w:val="00AC3520"/>
    <w:rsid w:val="00B445DE"/>
    <w:rsid w:val="00B46599"/>
    <w:rsid w:val="00B63D63"/>
    <w:rsid w:val="00BB35FD"/>
    <w:rsid w:val="00BB70E2"/>
    <w:rsid w:val="00C05E14"/>
    <w:rsid w:val="00C54F3B"/>
    <w:rsid w:val="00CB6E1A"/>
    <w:rsid w:val="00CC6895"/>
    <w:rsid w:val="00D64F67"/>
    <w:rsid w:val="00D73254"/>
    <w:rsid w:val="00DE1679"/>
    <w:rsid w:val="00E53788"/>
    <w:rsid w:val="00FA5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D9F3"/>
  <w15:chartTrackingRefBased/>
  <w15:docId w15:val="{16376DD6-5331-4188-BD05-B6EB0436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F3B"/>
    <w:pPr>
      <w:spacing w:after="0" w:line="240" w:lineRule="auto"/>
    </w:pPr>
    <w:rPr>
      <w:sz w:val="24"/>
      <w:szCs w:val="24"/>
    </w:rPr>
  </w:style>
  <w:style w:type="paragraph" w:styleId="Heading1">
    <w:name w:val="heading 1"/>
    <w:basedOn w:val="Normal"/>
    <w:next w:val="Normal"/>
    <w:link w:val="Heading1Char"/>
    <w:uiPriority w:val="9"/>
    <w:qFormat/>
    <w:rsid w:val="00C54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F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F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F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F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F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F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F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F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F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F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F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F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F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F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F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F3B"/>
    <w:rPr>
      <w:rFonts w:eastAsiaTheme="majorEastAsia" w:cstheme="majorBidi"/>
      <w:color w:val="272727" w:themeColor="text1" w:themeTint="D8"/>
    </w:rPr>
  </w:style>
  <w:style w:type="paragraph" w:styleId="Title">
    <w:name w:val="Title"/>
    <w:basedOn w:val="Normal"/>
    <w:next w:val="Normal"/>
    <w:link w:val="TitleChar"/>
    <w:uiPriority w:val="10"/>
    <w:qFormat/>
    <w:rsid w:val="00C54F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F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F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F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F3B"/>
    <w:pPr>
      <w:spacing w:before="160"/>
      <w:jc w:val="center"/>
    </w:pPr>
    <w:rPr>
      <w:i/>
      <w:iCs/>
      <w:color w:val="404040" w:themeColor="text1" w:themeTint="BF"/>
    </w:rPr>
  </w:style>
  <w:style w:type="character" w:customStyle="1" w:styleId="QuoteChar">
    <w:name w:val="Quote Char"/>
    <w:basedOn w:val="DefaultParagraphFont"/>
    <w:link w:val="Quote"/>
    <w:uiPriority w:val="29"/>
    <w:rsid w:val="00C54F3B"/>
    <w:rPr>
      <w:i/>
      <w:iCs/>
      <w:color w:val="404040" w:themeColor="text1" w:themeTint="BF"/>
    </w:rPr>
  </w:style>
  <w:style w:type="paragraph" w:styleId="ListParagraph">
    <w:name w:val="List Paragraph"/>
    <w:basedOn w:val="Normal"/>
    <w:uiPriority w:val="34"/>
    <w:qFormat/>
    <w:rsid w:val="00C54F3B"/>
    <w:pPr>
      <w:ind w:left="720"/>
      <w:contextualSpacing/>
    </w:pPr>
  </w:style>
  <w:style w:type="character" w:styleId="IntenseEmphasis">
    <w:name w:val="Intense Emphasis"/>
    <w:basedOn w:val="DefaultParagraphFont"/>
    <w:uiPriority w:val="21"/>
    <w:qFormat/>
    <w:rsid w:val="00C54F3B"/>
    <w:rPr>
      <w:i/>
      <w:iCs/>
      <w:color w:val="0F4761" w:themeColor="accent1" w:themeShade="BF"/>
    </w:rPr>
  </w:style>
  <w:style w:type="paragraph" w:styleId="IntenseQuote">
    <w:name w:val="Intense Quote"/>
    <w:basedOn w:val="Normal"/>
    <w:next w:val="Normal"/>
    <w:link w:val="IntenseQuoteChar"/>
    <w:uiPriority w:val="30"/>
    <w:qFormat/>
    <w:rsid w:val="00C54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F3B"/>
    <w:rPr>
      <w:i/>
      <w:iCs/>
      <w:color w:val="0F4761" w:themeColor="accent1" w:themeShade="BF"/>
    </w:rPr>
  </w:style>
  <w:style w:type="character" w:styleId="IntenseReference">
    <w:name w:val="Intense Reference"/>
    <w:basedOn w:val="DefaultParagraphFont"/>
    <w:uiPriority w:val="32"/>
    <w:qFormat/>
    <w:rsid w:val="00C54F3B"/>
    <w:rPr>
      <w:b/>
      <w:bCs/>
      <w:smallCaps/>
      <w:color w:val="0F4761" w:themeColor="accent1" w:themeShade="BF"/>
      <w:spacing w:val="5"/>
    </w:rPr>
  </w:style>
  <w:style w:type="paragraph" w:styleId="Header">
    <w:name w:val="header"/>
    <w:basedOn w:val="Normal"/>
    <w:link w:val="HeaderChar"/>
    <w:uiPriority w:val="99"/>
    <w:unhideWhenUsed/>
    <w:rsid w:val="00C54F3B"/>
    <w:pPr>
      <w:tabs>
        <w:tab w:val="center" w:pos="4513"/>
        <w:tab w:val="right" w:pos="9026"/>
      </w:tabs>
    </w:pPr>
  </w:style>
  <w:style w:type="character" w:customStyle="1" w:styleId="HeaderChar">
    <w:name w:val="Header Char"/>
    <w:basedOn w:val="DefaultParagraphFont"/>
    <w:link w:val="Header"/>
    <w:uiPriority w:val="99"/>
    <w:rsid w:val="00C54F3B"/>
    <w:rPr>
      <w:sz w:val="24"/>
      <w:szCs w:val="24"/>
    </w:rPr>
  </w:style>
  <w:style w:type="paragraph" w:styleId="Footer">
    <w:name w:val="footer"/>
    <w:basedOn w:val="Normal"/>
    <w:link w:val="FooterChar"/>
    <w:uiPriority w:val="99"/>
    <w:unhideWhenUsed/>
    <w:rsid w:val="00C54F3B"/>
    <w:pPr>
      <w:tabs>
        <w:tab w:val="center" w:pos="4513"/>
        <w:tab w:val="right" w:pos="9026"/>
      </w:tabs>
    </w:pPr>
  </w:style>
  <w:style w:type="character" w:customStyle="1" w:styleId="FooterChar">
    <w:name w:val="Footer Char"/>
    <w:basedOn w:val="DefaultParagraphFont"/>
    <w:link w:val="Footer"/>
    <w:uiPriority w:val="99"/>
    <w:rsid w:val="00C54F3B"/>
    <w:rPr>
      <w:sz w:val="24"/>
      <w:szCs w:val="24"/>
    </w:rPr>
  </w:style>
  <w:style w:type="character" w:styleId="Hyperlink">
    <w:name w:val="Hyperlink"/>
    <w:basedOn w:val="DefaultParagraphFont"/>
    <w:uiPriority w:val="99"/>
    <w:unhideWhenUsed/>
    <w:rsid w:val="00C54F3B"/>
    <w:rPr>
      <w:color w:val="467886" w:themeColor="hyperlink"/>
      <w:u w:val="single"/>
    </w:rPr>
  </w:style>
  <w:style w:type="table" w:styleId="TableGrid">
    <w:name w:val="Table Grid"/>
    <w:basedOn w:val="TableNormal"/>
    <w:uiPriority w:val="39"/>
    <w:rsid w:val="00C54F3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6A81"/>
    <w:rPr>
      <w:sz w:val="16"/>
      <w:szCs w:val="16"/>
    </w:rPr>
  </w:style>
  <w:style w:type="paragraph" w:styleId="CommentText">
    <w:name w:val="annotation text"/>
    <w:basedOn w:val="Normal"/>
    <w:link w:val="CommentTextChar"/>
    <w:uiPriority w:val="99"/>
    <w:unhideWhenUsed/>
    <w:rsid w:val="00576A81"/>
    <w:rPr>
      <w:sz w:val="20"/>
      <w:szCs w:val="20"/>
    </w:rPr>
  </w:style>
  <w:style w:type="character" w:customStyle="1" w:styleId="CommentTextChar">
    <w:name w:val="Comment Text Char"/>
    <w:basedOn w:val="DefaultParagraphFont"/>
    <w:link w:val="CommentText"/>
    <w:uiPriority w:val="99"/>
    <w:rsid w:val="00576A81"/>
    <w:rPr>
      <w:sz w:val="20"/>
      <w:szCs w:val="20"/>
    </w:rPr>
  </w:style>
  <w:style w:type="paragraph" w:styleId="CommentSubject">
    <w:name w:val="annotation subject"/>
    <w:basedOn w:val="CommentText"/>
    <w:next w:val="CommentText"/>
    <w:link w:val="CommentSubjectChar"/>
    <w:uiPriority w:val="99"/>
    <w:semiHidden/>
    <w:unhideWhenUsed/>
    <w:rsid w:val="00576A81"/>
    <w:rPr>
      <w:b/>
      <w:bCs/>
    </w:rPr>
  </w:style>
  <w:style w:type="character" w:customStyle="1" w:styleId="CommentSubjectChar">
    <w:name w:val="Comment Subject Char"/>
    <w:basedOn w:val="CommentTextChar"/>
    <w:link w:val="CommentSubject"/>
    <w:uiPriority w:val="99"/>
    <w:semiHidden/>
    <w:rsid w:val="00576A81"/>
    <w:rPr>
      <w:b/>
      <w:bCs/>
      <w:sz w:val="20"/>
      <w:szCs w:val="20"/>
    </w:rPr>
  </w:style>
  <w:style w:type="paragraph" w:styleId="NormalWeb">
    <w:name w:val="Normal (Web)"/>
    <w:basedOn w:val="Normal"/>
    <w:uiPriority w:val="99"/>
    <w:unhideWhenUsed/>
    <w:rsid w:val="008F79D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105536"/>
  </w:style>
  <w:style w:type="character" w:styleId="FollowedHyperlink">
    <w:name w:val="FollowedHyperlink"/>
    <w:basedOn w:val="DefaultParagraphFont"/>
    <w:uiPriority w:val="99"/>
    <w:semiHidden/>
    <w:unhideWhenUsed/>
    <w:rsid w:val="00105536"/>
    <w:rPr>
      <w:color w:val="96607D" w:themeColor="followedHyperlink"/>
      <w:u w:val="single"/>
    </w:rPr>
  </w:style>
  <w:style w:type="character" w:styleId="Strong">
    <w:name w:val="Strong"/>
    <w:basedOn w:val="DefaultParagraphFont"/>
    <w:uiPriority w:val="22"/>
    <w:qFormat/>
    <w:rsid w:val="00105536"/>
    <w:rPr>
      <w:b/>
      <w:bCs/>
    </w:rPr>
  </w:style>
  <w:style w:type="character" w:styleId="UnresolvedMention">
    <w:name w:val="Unresolved Mention"/>
    <w:basedOn w:val="DefaultParagraphFont"/>
    <w:uiPriority w:val="99"/>
    <w:semiHidden/>
    <w:unhideWhenUsed/>
    <w:rsid w:val="006B4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14891">
      <w:bodyDiv w:val="1"/>
      <w:marLeft w:val="0"/>
      <w:marRight w:val="0"/>
      <w:marTop w:val="0"/>
      <w:marBottom w:val="0"/>
      <w:divBdr>
        <w:top w:val="none" w:sz="0" w:space="0" w:color="auto"/>
        <w:left w:val="none" w:sz="0" w:space="0" w:color="auto"/>
        <w:bottom w:val="none" w:sz="0" w:space="0" w:color="auto"/>
        <w:right w:val="none" w:sz="0" w:space="0" w:color="auto"/>
      </w:divBdr>
    </w:div>
    <w:div w:id="1480072501">
      <w:bodyDiv w:val="1"/>
      <w:marLeft w:val="0"/>
      <w:marRight w:val="0"/>
      <w:marTop w:val="0"/>
      <w:marBottom w:val="0"/>
      <w:divBdr>
        <w:top w:val="none" w:sz="0" w:space="0" w:color="auto"/>
        <w:left w:val="none" w:sz="0" w:space="0" w:color="auto"/>
        <w:bottom w:val="none" w:sz="0" w:space="0" w:color="auto"/>
        <w:right w:val="none" w:sz="0" w:space="0" w:color="auto"/>
      </w:divBdr>
    </w:div>
    <w:div w:id="162557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levels.gov.uk/students/subjects/healt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levels.gov.uk/students/subjects/educ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49d43c345b6a2000c3d4515/Annex_A_industry_placement_delivery_approaches_guidance.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mployers.tlevels.gov.uk/hc/en-gb/articles/4403442935442-Providing-industry-placements-in-rural-and-remote-are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379D2-8BFE-4203-8EF2-F90E3DC19FF3}">
  <ds:schemaRefs>
    <ds:schemaRef ds:uri="http://schemas.microsoft.com/office/2006/metadata/properties"/>
    <ds:schemaRef ds:uri="http://www.w3.org/2000/xmlns/"/>
    <ds:schemaRef ds:uri="8c566321-f672-4e06-a901-b5e72b4c4357"/>
    <ds:schemaRef ds:uri="http://www.w3.org/2001/XMLSchema-instance"/>
    <ds:schemaRef ds:uri="4d5c5177-e17f-4910-a007-5de2f7b5b55d"/>
    <ds:schemaRef ds:uri="http://schemas.microsoft.com/office/infopath/2007/PartnerControls"/>
    <ds:schemaRef ds:uri="1fa43e64-8a6d-4c3d-bfba-c0d9753f4fb0"/>
    <ds:schemaRef ds:uri="e331b3de-4d89-4303-8187-0e0a31be41e9"/>
  </ds:schemaRefs>
</ds:datastoreItem>
</file>

<file path=customXml/itemProps2.xml><?xml version="1.0" encoding="utf-8"?>
<ds:datastoreItem xmlns:ds="http://schemas.openxmlformats.org/officeDocument/2006/customXml" ds:itemID="{1EFF6677-F0FA-49B3-8115-C9B57FAE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F3933-AF32-482B-9992-05A3A49535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Links>
    <vt:vector size="18" baseType="variant">
      <vt:variant>
        <vt:i4>7340071</vt:i4>
      </vt:variant>
      <vt:variant>
        <vt:i4>6</vt:i4>
      </vt:variant>
      <vt:variant>
        <vt:i4>0</vt:i4>
      </vt:variant>
      <vt:variant>
        <vt:i4>5</vt:i4>
      </vt:variant>
      <vt:variant>
        <vt:lpwstr>https://www.tlevels.gov.uk/students/subjects/health</vt:lpwstr>
      </vt:variant>
      <vt:variant>
        <vt:lpwstr/>
      </vt:variant>
      <vt:variant>
        <vt:i4>8060978</vt:i4>
      </vt:variant>
      <vt:variant>
        <vt:i4>3</vt:i4>
      </vt:variant>
      <vt:variant>
        <vt:i4>0</vt:i4>
      </vt:variant>
      <vt:variant>
        <vt:i4>5</vt:i4>
      </vt:variant>
      <vt:variant>
        <vt:lpwstr>https://www.tlevels.gov.uk/students/subjects/education</vt:lpwstr>
      </vt:variant>
      <vt:variant>
        <vt:lpwstr/>
      </vt:variant>
      <vt:variant>
        <vt:i4>5767188</vt:i4>
      </vt:variant>
      <vt:variant>
        <vt:i4>0</vt:i4>
      </vt:variant>
      <vt:variant>
        <vt:i4>0</vt:i4>
      </vt:variant>
      <vt:variant>
        <vt:i4>5</vt:i4>
      </vt:variant>
      <vt:variant>
        <vt:lpwstr>https://assets.publishing.service.gov.uk/media/649d43c345b6a2000c3d4515/Annex_A_industry_placement_delivery_approaches_guidance.pdf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Gilmartin</dc:creator>
  <cp:keywords/>
  <dc:description/>
  <cp:lastModifiedBy>Anna Sutton</cp:lastModifiedBy>
  <cp:revision>28</cp:revision>
  <cp:lastPrinted>2024-03-20T17:17:00Z</cp:lastPrinted>
  <dcterms:created xsi:type="dcterms:W3CDTF">2024-03-19T23:17:00Z</dcterms:created>
  <dcterms:modified xsi:type="dcterms:W3CDTF">2024-04-09T11:19:00Z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