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EAD3" w14:textId="77777777" w:rsidR="00D33E70" w:rsidRDefault="00C54F3B" w:rsidP="00641B1B">
      <w:pPr>
        <w:spacing w:before="120" w:after="120"/>
        <w:rPr>
          <w:rFonts w:ascii="Arial" w:hAnsi="Arial" w:cs="Arial"/>
          <w:b/>
          <w:bCs/>
          <w:i/>
          <w:caps/>
          <w:color w:val="FC4421"/>
          <w:sz w:val="36"/>
          <w:szCs w:val="36"/>
        </w:rPr>
      </w:pPr>
      <w:bookmarkStart w:id="0" w:name="_Toc153354836"/>
      <w:r>
        <w:rPr>
          <w:rFonts w:ascii="Arial" w:hAnsi="Arial" w:cs="Arial"/>
          <w:b/>
          <w:bCs/>
          <w:i/>
          <w:caps/>
          <w:color w:val="FC4421"/>
          <w:sz w:val="36"/>
          <w:szCs w:val="36"/>
        </w:rPr>
        <w:t>objection handling</w:t>
      </w:r>
      <w:r w:rsidR="00D33E70">
        <w:rPr>
          <w:rFonts w:ascii="Arial" w:hAnsi="Arial" w:cs="Arial"/>
          <w:b/>
          <w:bCs/>
          <w:i/>
          <w:caps/>
          <w:color w:val="FC4421"/>
          <w:sz w:val="36"/>
          <w:szCs w:val="36"/>
        </w:rPr>
        <w:t xml:space="preserve"> </w:t>
      </w:r>
    </w:p>
    <w:p w14:paraId="763006DA" w14:textId="1367A58B" w:rsidR="00C54F3B" w:rsidRPr="007564BC" w:rsidRDefault="00D33E70" w:rsidP="00641B1B">
      <w:pPr>
        <w:spacing w:before="120" w:after="120"/>
        <w:rPr>
          <w:rFonts w:ascii="Arial" w:hAnsi="Arial" w:cs="Arial"/>
          <w:b/>
          <w:bCs/>
          <w:i/>
          <w:iCs/>
          <w:color w:val="FC4421"/>
          <w:sz w:val="22"/>
          <w:szCs w:val="22"/>
        </w:rPr>
      </w:pPr>
      <w:r w:rsidRPr="007564BC">
        <w:rPr>
          <w:rFonts w:ascii="Arial" w:hAnsi="Arial" w:cs="Arial"/>
          <w:b/>
          <w:bCs/>
          <w:i/>
          <w:caps/>
          <w:color w:val="FC4421"/>
          <w:sz w:val="32"/>
          <w:szCs w:val="32"/>
        </w:rPr>
        <w:t>SPECIAL EDUCATIONAL NEED</w:t>
      </w:r>
      <w:r w:rsidR="006F6E22" w:rsidRPr="007564BC">
        <w:rPr>
          <w:rFonts w:ascii="Arial" w:hAnsi="Arial" w:cs="Arial"/>
          <w:b/>
          <w:bCs/>
          <w:i/>
          <w:caps/>
          <w:color w:val="FC4421"/>
          <w:sz w:val="32"/>
          <w:szCs w:val="32"/>
        </w:rPr>
        <w:t xml:space="preserve">S AND/OR DISABILITIES / </w:t>
      </w:r>
      <w:r w:rsidR="007564BC" w:rsidRPr="007564BC">
        <w:rPr>
          <w:rFonts w:ascii="Arial" w:hAnsi="Arial" w:cs="Arial"/>
          <w:b/>
          <w:bCs/>
          <w:i/>
          <w:caps/>
          <w:color w:val="FC4421"/>
          <w:sz w:val="32"/>
          <w:szCs w:val="32"/>
        </w:rPr>
        <w:t xml:space="preserve">lEARNING Difficulties or disabilities </w:t>
      </w:r>
      <w:bookmarkEnd w:id="0"/>
    </w:p>
    <w:p w14:paraId="666E8AD3" w14:textId="5D5342C6" w:rsidR="00C54F3B" w:rsidRDefault="00C54F3B" w:rsidP="00C54F3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following information will help you give suitable responses when a potential employer raises objections about offering an industry placement because the student </w:t>
      </w:r>
      <w:r w:rsidRPr="001D2780">
        <w:rPr>
          <w:rFonts w:ascii="Arial" w:hAnsi="Arial" w:cs="Arial"/>
        </w:rPr>
        <w:t>“</w:t>
      </w:r>
      <w:r w:rsidR="00A30B0C" w:rsidRPr="001D2780">
        <w:rPr>
          <w:rFonts w:ascii="Arial" w:hAnsi="Arial" w:cs="Arial"/>
        </w:rPr>
        <w:t>has learning difficulties or disabilities”</w:t>
      </w:r>
      <w:r w:rsidRPr="001D2780">
        <w:rPr>
          <w:rFonts w:ascii="Arial" w:hAnsi="Arial" w:cs="Arial"/>
        </w:rPr>
        <w:t>.</w:t>
      </w:r>
    </w:p>
    <w:p w14:paraId="152DA9A5" w14:textId="77777777" w:rsidR="00C54F3B" w:rsidRDefault="00C54F3B" w:rsidP="00C54F3B">
      <w:pPr>
        <w:rPr>
          <w:rFonts w:ascii="Arial" w:hAnsi="Arial" w:cs="Arial"/>
          <w:b/>
          <w:bCs/>
          <w:i/>
          <w:iCs/>
          <w:color w:val="FF0000"/>
        </w:rPr>
      </w:pPr>
    </w:p>
    <w:tbl>
      <w:tblPr>
        <w:tblStyle w:val="TableGrid"/>
        <w:tblW w:w="14230" w:type="dxa"/>
        <w:tblLook w:val="04A0" w:firstRow="1" w:lastRow="0" w:firstColumn="1" w:lastColumn="0" w:noHBand="0" w:noVBand="1"/>
      </w:tblPr>
      <w:tblGrid>
        <w:gridCol w:w="3685"/>
        <w:gridCol w:w="5953"/>
        <w:gridCol w:w="4592"/>
      </w:tblGrid>
      <w:tr w:rsidR="00C54F3B" w14:paraId="6275B4B0" w14:textId="77777777" w:rsidTr="2D3AAEE1">
        <w:trPr>
          <w:cantSplit/>
          <w:tblHeader/>
        </w:trPr>
        <w:tc>
          <w:tcPr>
            <w:tcW w:w="3685" w:type="dxa"/>
          </w:tcPr>
          <w:p w14:paraId="13D1CE4D" w14:textId="77777777" w:rsidR="00C54F3B" w:rsidRDefault="00C54F3B" w:rsidP="00641B1B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Employer objection</w:t>
            </w:r>
          </w:p>
        </w:tc>
        <w:tc>
          <w:tcPr>
            <w:tcW w:w="5953" w:type="dxa"/>
          </w:tcPr>
          <w:p w14:paraId="72E40BA7" w14:textId="77777777" w:rsidR="00C54F3B" w:rsidRDefault="00C54F3B" w:rsidP="00641B1B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Your response</w:t>
            </w:r>
          </w:p>
        </w:tc>
        <w:tc>
          <w:tcPr>
            <w:tcW w:w="4592" w:type="dxa"/>
          </w:tcPr>
          <w:p w14:paraId="31A001E6" w14:textId="77777777" w:rsidR="00C54F3B" w:rsidRPr="00C1707D" w:rsidRDefault="00C54F3B" w:rsidP="00641B1B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Where can you find further guidance? </w:t>
            </w:r>
          </w:p>
        </w:tc>
      </w:tr>
      <w:tr w:rsidR="00C54F3B" w:rsidRPr="00B711FA" w14:paraId="15DD66F9" w14:textId="77777777" w:rsidTr="2D3AAEE1">
        <w:trPr>
          <w:cantSplit/>
          <w:trHeight w:val="823"/>
        </w:trPr>
        <w:tc>
          <w:tcPr>
            <w:tcW w:w="3685" w:type="dxa"/>
          </w:tcPr>
          <w:p w14:paraId="6B587B61" w14:textId="44C1B6B7" w:rsidR="00C54F3B" w:rsidRDefault="00A30B0C" w:rsidP="00641B1B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We </w:t>
            </w:r>
            <w:r w:rsidR="007A5505">
              <w:rPr>
                <w:rFonts w:ascii="Arial" w:hAnsi="Arial" w:cs="Arial"/>
                <w:b/>
                <w:bCs/>
              </w:rPr>
              <w:t>don’t think we could</w:t>
            </w:r>
            <w:r>
              <w:rPr>
                <w:rFonts w:ascii="Arial" w:hAnsi="Arial" w:cs="Arial"/>
                <w:b/>
                <w:bCs/>
              </w:rPr>
              <w:t xml:space="preserve"> cope with </w:t>
            </w:r>
            <w:r w:rsidRPr="00A30B0C">
              <w:rPr>
                <w:rFonts w:ascii="Arial" w:hAnsi="Arial" w:cs="Arial"/>
                <w:b/>
                <w:bCs/>
              </w:rPr>
              <w:t>students who have “Special Educational Needs or Disabilities”</w:t>
            </w:r>
            <w:r>
              <w:rPr>
                <w:rFonts w:ascii="Arial" w:hAnsi="Arial" w:cs="Arial"/>
              </w:rPr>
              <w:t xml:space="preserve"> (</w:t>
            </w:r>
            <w:r w:rsidR="00C54F3B">
              <w:rPr>
                <w:rFonts w:ascii="Arial" w:hAnsi="Arial" w:cs="Arial"/>
                <w:b/>
                <w:bCs/>
              </w:rPr>
              <w:t>SEND</w:t>
            </w:r>
            <w:r>
              <w:rPr>
                <w:rFonts w:ascii="Arial" w:hAnsi="Arial" w:cs="Arial"/>
                <w:b/>
                <w:bCs/>
              </w:rPr>
              <w:t>) – there are surely too many responsibilities and other issues to deal with.</w:t>
            </w:r>
          </w:p>
        </w:tc>
        <w:tc>
          <w:tcPr>
            <w:tcW w:w="5953" w:type="dxa"/>
          </w:tcPr>
          <w:p w14:paraId="4F5E23CA" w14:textId="0FB3B108" w:rsidR="00A30B0C" w:rsidRDefault="00C54F3B" w:rsidP="00641B1B">
            <w:pPr>
              <w:spacing w:before="120" w:after="120"/>
              <w:rPr>
                <w:rFonts w:ascii="Arial" w:hAnsi="Arial" w:cs="Arial"/>
              </w:rPr>
            </w:pPr>
            <w:r w:rsidRPr="2D3AAEE1">
              <w:rPr>
                <w:rFonts w:ascii="Arial" w:hAnsi="Arial" w:cs="Arial"/>
              </w:rPr>
              <w:t xml:space="preserve">Students </w:t>
            </w:r>
            <w:r w:rsidR="00A30B0C" w:rsidRPr="2D3AAEE1">
              <w:rPr>
                <w:rFonts w:ascii="Arial" w:hAnsi="Arial" w:cs="Arial"/>
              </w:rPr>
              <w:t xml:space="preserve">who may be classified as having </w:t>
            </w:r>
            <w:r w:rsidR="00D33E70" w:rsidRPr="2D3AAEE1">
              <w:rPr>
                <w:rFonts w:ascii="Arial" w:hAnsi="Arial" w:cs="Arial"/>
              </w:rPr>
              <w:t>SEND, could</w:t>
            </w:r>
            <w:r w:rsidRPr="2D3AAEE1">
              <w:rPr>
                <w:rFonts w:ascii="Arial" w:hAnsi="Arial" w:cs="Arial"/>
              </w:rPr>
              <w:t xml:space="preserve"> range from </w:t>
            </w:r>
            <w:r w:rsidR="00A30B0C" w:rsidRPr="2D3AAEE1">
              <w:rPr>
                <w:rFonts w:ascii="Arial" w:hAnsi="Arial" w:cs="Arial"/>
              </w:rPr>
              <w:t xml:space="preserve">having </w:t>
            </w:r>
            <w:r w:rsidRPr="2D3AAEE1">
              <w:rPr>
                <w:rFonts w:ascii="Arial" w:hAnsi="Arial" w:cs="Arial"/>
              </w:rPr>
              <w:t xml:space="preserve">dyslexia to </w:t>
            </w:r>
            <w:r w:rsidR="00A30B0C" w:rsidRPr="2D3AAEE1">
              <w:rPr>
                <w:rFonts w:ascii="Arial" w:hAnsi="Arial" w:cs="Arial"/>
              </w:rPr>
              <w:t xml:space="preserve">having </w:t>
            </w:r>
            <w:r w:rsidRPr="2D3AAEE1">
              <w:rPr>
                <w:rFonts w:ascii="Arial" w:hAnsi="Arial" w:cs="Arial"/>
              </w:rPr>
              <w:t xml:space="preserve">a physical disability, </w:t>
            </w:r>
            <w:r w:rsidR="00A30B0C" w:rsidRPr="2D3AAEE1">
              <w:rPr>
                <w:rFonts w:ascii="Arial" w:hAnsi="Arial" w:cs="Arial"/>
              </w:rPr>
              <w:t xml:space="preserve">or </w:t>
            </w:r>
            <w:r w:rsidRPr="2D3AAEE1">
              <w:rPr>
                <w:rFonts w:ascii="Arial" w:hAnsi="Arial" w:cs="Arial"/>
              </w:rPr>
              <w:t xml:space="preserve">to being on the autistic spectrum. </w:t>
            </w:r>
          </w:p>
          <w:p w14:paraId="0E90C2E5" w14:textId="3A9683B7" w:rsidR="00A30B0C" w:rsidRDefault="00D624FA" w:rsidP="00641B1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A30B0C">
              <w:rPr>
                <w:rFonts w:ascii="Arial" w:hAnsi="Arial" w:cs="Arial"/>
              </w:rPr>
              <w:t xml:space="preserve"> will </w:t>
            </w:r>
            <w:r w:rsidR="00C54F3B" w:rsidRPr="00A84B9B">
              <w:rPr>
                <w:rFonts w:ascii="Arial" w:hAnsi="Arial" w:cs="Arial"/>
              </w:rPr>
              <w:t>invest time in prepar</w:t>
            </w:r>
            <w:r w:rsidR="00A30B0C">
              <w:rPr>
                <w:rFonts w:ascii="Arial" w:hAnsi="Arial" w:cs="Arial"/>
              </w:rPr>
              <w:t xml:space="preserve">ing these students </w:t>
            </w:r>
            <w:r>
              <w:rPr>
                <w:rFonts w:ascii="Arial" w:hAnsi="Arial" w:cs="Arial"/>
              </w:rPr>
              <w:t xml:space="preserve">and </w:t>
            </w:r>
            <w:r w:rsidRPr="00A84B9B">
              <w:rPr>
                <w:rFonts w:ascii="Arial" w:hAnsi="Arial" w:cs="Arial"/>
              </w:rPr>
              <w:t>make</w:t>
            </w:r>
            <w:r w:rsidR="00C54F3B" w:rsidRPr="00A84B9B">
              <w:rPr>
                <w:rFonts w:ascii="Arial" w:hAnsi="Arial" w:cs="Arial"/>
              </w:rPr>
              <w:t xml:space="preserve"> sure they are ready and fully supported to enter the workplace. </w:t>
            </w:r>
          </w:p>
          <w:p w14:paraId="3C823AD7" w14:textId="2525D411" w:rsidR="00C54F3B" w:rsidRPr="00A84B9B" w:rsidRDefault="00C54F3B" w:rsidP="00641B1B">
            <w:pPr>
              <w:spacing w:before="120" w:after="120"/>
              <w:rPr>
                <w:rFonts w:ascii="Arial" w:hAnsi="Arial" w:cs="Arial"/>
              </w:rPr>
            </w:pPr>
            <w:r w:rsidRPr="2D3AAEE1">
              <w:rPr>
                <w:rFonts w:ascii="Arial" w:hAnsi="Arial" w:cs="Arial"/>
              </w:rPr>
              <w:t>You will be</w:t>
            </w:r>
            <w:r w:rsidR="00A30B0C" w:rsidRPr="2D3AAEE1">
              <w:rPr>
                <w:rFonts w:ascii="Arial" w:hAnsi="Arial" w:cs="Arial"/>
              </w:rPr>
              <w:t xml:space="preserve"> fully</w:t>
            </w:r>
            <w:r w:rsidRPr="2D3AAEE1">
              <w:rPr>
                <w:rFonts w:ascii="Arial" w:hAnsi="Arial" w:cs="Arial"/>
              </w:rPr>
              <w:t xml:space="preserve"> informed of the specific</w:t>
            </w:r>
            <w:r w:rsidR="002A433A">
              <w:rPr>
                <w:rFonts w:ascii="Arial" w:hAnsi="Arial" w:cs="Arial"/>
              </w:rPr>
              <w:t xml:space="preserve"> and </w:t>
            </w:r>
            <w:r w:rsidR="00F81D00">
              <w:rPr>
                <w:rFonts w:ascii="Arial" w:hAnsi="Arial" w:cs="Arial"/>
              </w:rPr>
              <w:t xml:space="preserve">practical </w:t>
            </w:r>
            <w:r w:rsidR="00F81D00" w:rsidRPr="2D3AAEE1">
              <w:rPr>
                <w:rFonts w:ascii="Arial" w:hAnsi="Arial" w:cs="Arial"/>
              </w:rPr>
              <w:t>needs</w:t>
            </w:r>
            <w:r w:rsidRPr="2D3AAEE1">
              <w:rPr>
                <w:rFonts w:ascii="Arial" w:hAnsi="Arial" w:cs="Arial"/>
              </w:rPr>
              <w:t xml:space="preserve"> of individual students</w:t>
            </w:r>
            <w:r w:rsidR="002A433A">
              <w:rPr>
                <w:rFonts w:ascii="Arial" w:hAnsi="Arial" w:cs="Arial"/>
              </w:rPr>
              <w:t xml:space="preserve">.  We will </w:t>
            </w:r>
            <w:r w:rsidR="000F41D0">
              <w:rPr>
                <w:rFonts w:ascii="Arial" w:hAnsi="Arial" w:cs="Arial"/>
              </w:rPr>
              <w:t>work with</w:t>
            </w:r>
            <w:r w:rsidRPr="2D3AAEE1">
              <w:rPr>
                <w:rFonts w:ascii="Arial" w:hAnsi="Arial" w:cs="Arial"/>
              </w:rPr>
              <w:t xml:space="preserve"> you </w:t>
            </w:r>
            <w:r w:rsidR="00E54F8A">
              <w:rPr>
                <w:rFonts w:ascii="Arial" w:hAnsi="Arial" w:cs="Arial"/>
              </w:rPr>
              <w:t xml:space="preserve">and the student </w:t>
            </w:r>
            <w:r w:rsidR="002A433A">
              <w:rPr>
                <w:rFonts w:ascii="Arial" w:hAnsi="Arial" w:cs="Arial"/>
              </w:rPr>
              <w:t>to implement</w:t>
            </w:r>
            <w:r w:rsidRPr="2D3AAEE1">
              <w:rPr>
                <w:rFonts w:ascii="Arial" w:hAnsi="Arial" w:cs="Arial"/>
              </w:rPr>
              <w:t xml:space="preserve"> any reasonable adjustments </w:t>
            </w:r>
            <w:r w:rsidR="00F81D00">
              <w:rPr>
                <w:rFonts w:ascii="Arial" w:hAnsi="Arial" w:cs="Arial"/>
              </w:rPr>
              <w:t xml:space="preserve">or risk assessments </w:t>
            </w:r>
            <w:r w:rsidRPr="2D3AAEE1">
              <w:rPr>
                <w:rFonts w:ascii="Arial" w:hAnsi="Arial" w:cs="Arial"/>
              </w:rPr>
              <w:t>before the placement begins</w:t>
            </w:r>
            <w:r w:rsidR="00A30B0C" w:rsidRPr="2D3AAEE1">
              <w:rPr>
                <w:rFonts w:ascii="Arial" w:hAnsi="Arial" w:cs="Arial"/>
              </w:rPr>
              <w:t xml:space="preserve">. </w:t>
            </w:r>
            <w:r w:rsidR="00F81D00">
              <w:rPr>
                <w:rFonts w:ascii="Arial" w:hAnsi="Arial" w:cs="Arial"/>
              </w:rPr>
              <w:t>We will continue to support you throughout the placement and any</w:t>
            </w:r>
            <w:r w:rsidR="00A30B0C" w:rsidRPr="2D3AAEE1">
              <w:rPr>
                <w:rFonts w:ascii="Arial" w:hAnsi="Arial" w:cs="Arial"/>
              </w:rPr>
              <w:t xml:space="preserve"> adjustments will be </w:t>
            </w:r>
            <w:r w:rsidRPr="2D3AAEE1">
              <w:rPr>
                <w:rFonts w:ascii="Arial" w:hAnsi="Arial" w:cs="Arial"/>
              </w:rPr>
              <w:t>ke</w:t>
            </w:r>
            <w:r w:rsidR="00A30B0C" w:rsidRPr="2D3AAEE1">
              <w:rPr>
                <w:rFonts w:ascii="Arial" w:hAnsi="Arial" w:cs="Arial"/>
              </w:rPr>
              <w:t>pt</w:t>
            </w:r>
            <w:r w:rsidRPr="2D3AAEE1">
              <w:rPr>
                <w:rFonts w:ascii="Arial" w:hAnsi="Arial" w:cs="Arial"/>
              </w:rPr>
              <w:t xml:space="preserve"> under review</w:t>
            </w:r>
            <w:r w:rsidR="00F81D00">
              <w:rPr>
                <w:rFonts w:ascii="Arial" w:hAnsi="Arial" w:cs="Arial"/>
              </w:rPr>
              <w:t>.</w:t>
            </w:r>
            <w:r w:rsidRPr="2D3AAE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92" w:type="dxa"/>
          </w:tcPr>
          <w:p w14:paraId="4649D18F" w14:textId="16B8F913" w:rsidR="007A5505" w:rsidRDefault="009D538E" w:rsidP="00641B1B">
            <w:pPr>
              <w:spacing w:before="120" w:after="120"/>
              <w:rPr>
                <w:rFonts w:ascii="Arial" w:hAnsi="Arial" w:cs="Arial"/>
              </w:rPr>
            </w:pPr>
            <w:hyperlink r:id="rId10" w:history="1">
              <w:r w:rsidR="007A5505" w:rsidRPr="007A5505">
                <w:rPr>
                  <w:rStyle w:val="Hyperlink"/>
                  <w:rFonts w:ascii="Arial" w:hAnsi="Arial" w:cs="Arial"/>
                </w:rPr>
                <w:t>Supporting industry placements with students with SEND</w:t>
              </w:r>
            </w:hyperlink>
          </w:p>
          <w:p w14:paraId="70163FC0" w14:textId="77777777" w:rsidR="007A5505" w:rsidRPr="007A5505" w:rsidRDefault="007A5505" w:rsidP="00641B1B">
            <w:pPr>
              <w:spacing w:before="120" w:after="120"/>
              <w:rPr>
                <w:rFonts w:ascii="Arial" w:hAnsi="Arial" w:cs="Arial"/>
              </w:rPr>
            </w:pPr>
          </w:p>
          <w:p w14:paraId="2F134DE6" w14:textId="77777777" w:rsidR="007A5505" w:rsidRDefault="007A5505" w:rsidP="00641B1B">
            <w:pPr>
              <w:spacing w:before="120" w:after="120"/>
              <w:rPr>
                <w:rFonts w:ascii="Arial" w:hAnsi="Arial" w:cs="Arial"/>
                <w:i/>
                <w:iCs/>
              </w:rPr>
            </w:pPr>
          </w:p>
          <w:p w14:paraId="6B1814A8" w14:textId="3879ADF4" w:rsidR="00C54F3B" w:rsidRPr="00C1707D" w:rsidRDefault="007A5505" w:rsidP="00641B1B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7A5505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7A5505" w:rsidRPr="00B711FA" w14:paraId="3F1909AF" w14:textId="77777777" w:rsidTr="2D3AAEE1">
        <w:trPr>
          <w:cantSplit/>
        </w:trPr>
        <w:tc>
          <w:tcPr>
            <w:tcW w:w="3685" w:type="dxa"/>
          </w:tcPr>
          <w:p w14:paraId="26468ADD" w14:textId="4A036056" w:rsidR="007A5505" w:rsidRDefault="007A5505" w:rsidP="00641B1B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if the SEND student can’t cope with the normal tasks and duties that the job demands?</w:t>
            </w:r>
          </w:p>
        </w:tc>
        <w:tc>
          <w:tcPr>
            <w:tcW w:w="5953" w:type="dxa"/>
          </w:tcPr>
          <w:p w14:paraId="7B4A17A6" w14:textId="630D2218" w:rsidR="00D42E9C" w:rsidRPr="00A84B9B" w:rsidRDefault="00AA1296" w:rsidP="00641B1B">
            <w:pPr>
              <w:spacing w:before="120" w:after="120"/>
              <w:rPr>
                <w:rFonts w:ascii="Arial" w:hAnsi="Arial" w:cs="Arial"/>
              </w:rPr>
            </w:pPr>
            <w:r w:rsidRPr="2D3AAEE1">
              <w:rPr>
                <w:rFonts w:ascii="Arial" w:hAnsi="Arial" w:cs="Arial"/>
              </w:rPr>
              <w:t>We</w:t>
            </w:r>
            <w:r w:rsidR="007A5505" w:rsidRPr="2D3AAEE1">
              <w:rPr>
                <w:rFonts w:ascii="Arial" w:hAnsi="Arial" w:cs="Arial"/>
              </w:rPr>
              <w:t xml:space="preserve"> will advise on tailoring a placement role to suit the talents of a particular individual. </w:t>
            </w:r>
            <w:r w:rsidRPr="2D3AAEE1">
              <w:rPr>
                <w:rFonts w:ascii="Arial" w:hAnsi="Arial" w:cs="Arial"/>
              </w:rPr>
              <w:t>So,</w:t>
            </w:r>
            <w:r w:rsidR="007A5505" w:rsidRPr="2D3AAEE1">
              <w:rPr>
                <w:rFonts w:ascii="Arial" w:hAnsi="Arial" w:cs="Arial"/>
              </w:rPr>
              <w:t xml:space="preserve"> this might mean re-thinking parts of the role, so that students can learn, </w:t>
            </w:r>
            <w:proofErr w:type="gramStart"/>
            <w:r w:rsidR="007A5505" w:rsidRPr="2D3AAEE1">
              <w:rPr>
                <w:rFonts w:ascii="Arial" w:hAnsi="Arial" w:cs="Arial"/>
              </w:rPr>
              <w:t>develop</w:t>
            </w:r>
            <w:proofErr w:type="gramEnd"/>
            <w:r w:rsidR="007A5505" w:rsidRPr="2D3AAEE1">
              <w:rPr>
                <w:rFonts w:ascii="Arial" w:hAnsi="Arial" w:cs="Arial"/>
              </w:rPr>
              <w:t xml:space="preserve"> and demonstrate the skills, knowledge and behaviour in the way that suits them best.</w:t>
            </w:r>
          </w:p>
        </w:tc>
        <w:tc>
          <w:tcPr>
            <w:tcW w:w="4592" w:type="dxa"/>
          </w:tcPr>
          <w:p w14:paraId="647A3390" w14:textId="354FD4E5" w:rsidR="007A5505" w:rsidRDefault="007A5505" w:rsidP="00641B1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can find </w:t>
            </w:r>
            <w:r w:rsidRPr="007A5505">
              <w:rPr>
                <w:rFonts w:ascii="Arial" w:hAnsi="Arial" w:cs="Arial"/>
              </w:rPr>
              <w:t xml:space="preserve">out more </w:t>
            </w:r>
            <w:r>
              <w:rPr>
                <w:rFonts w:ascii="Arial" w:hAnsi="Arial" w:cs="Arial"/>
              </w:rPr>
              <w:t>in general terms</w:t>
            </w:r>
            <w:r w:rsidR="00415C51">
              <w:rPr>
                <w:rFonts w:ascii="Arial" w:hAnsi="Arial" w:cs="Arial"/>
              </w:rPr>
              <w:t xml:space="preserve"> here:</w:t>
            </w:r>
            <w:r>
              <w:rPr>
                <w:rFonts w:ascii="Arial" w:hAnsi="Arial" w:cs="Arial"/>
              </w:rPr>
              <w:t xml:space="preserve"> </w:t>
            </w:r>
            <w:hyperlink r:id="rId11" w:history="1">
              <w:r w:rsidR="00E205E5" w:rsidRPr="00E205E5">
                <w:rPr>
                  <w:rStyle w:val="Hyperlink"/>
                  <w:rFonts w:ascii="Arial" w:hAnsi="Arial" w:cs="Arial"/>
                </w:rPr>
                <w:t>Supporting industry placement students with special educational needs and disabilities</w:t>
              </w:r>
            </w:hyperlink>
          </w:p>
        </w:tc>
      </w:tr>
      <w:tr w:rsidR="007A5505" w:rsidRPr="00B711FA" w14:paraId="748DC010" w14:textId="77777777" w:rsidTr="2D3AAEE1">
        <w:trPr>
          <w:cantSplit/>
        </w:trPr>
        <w:tc>
          <w:tcPr>
            <w:tcW w:w="3685" w:type="dxa"/>
          </w:tcPr>
          <w:p w14:paraId="056DA792" w14:textId="074DDE0B" w:rsidR="007A5505" w:rsidRDefault="007A5505" w:rsidP="00641B1B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We don’t have any experience of working with SEND </w:t>
            </w:r>
            <w:r w:rsidR="00AB7D50">
              <w:rPr>
                <w:rFonts w:ascii="Arial" w:hAnsi="Arial" w:cs="Arial"/>
                <w:b/>
                <w:bCs/>
              </w:rPr>
              <w:t>staff</w:t>
            </w:r>
            <w:r>
              <w:rPr>
                <w:rFonts w:ascii="Arial" w:hAnsi="Arial" w:cs="Arial"/>
                <w:b/>
                <w:bCs/>
              </w:rPr>
              <w:t xml:space="preserve"> so don’t know what else might be involved?</w:t>
            </w:r>
          </w:p>
        </w:tc>
        <w:tc>
          <w:tcPr>
            <w:tcW w:w="5953" w:type="dxa"/>
          </w:tcPr>
          <w:p w14:paraId="5D6E205D" w14:textId="61425EC1" w:rsidR="007A5505" w:rsidRPr="007A5505" w:rsidRDefault="00D42E9C" w:rsidP="00641B1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7A5505" w:rsidRPr="007A5505">
              <w:rPr>
                <w:rFonts w:ascii="Arial" w:hAnsi="Arial" w:cs="Arial"/>
              </w:rPr>
              <w:t xml:space="preserve"> </w:t>
            </w:r>
            <w:r w:rsidR="00AB7D50">
              <w:rPr>
                <w:rFonts w:ascii="Arial" w:hAnsi="Arial" w:cs="Arial"/>
              </w:rPr>
              <w:t xml:space="preserve">will help you identify </w:t>
            </w:r>
            <w:r w:rsidR="007A5505" w:rsidRPr="007A5505">
              <w:rPr>
                <w:rFonts w:ascii="Arial" w:hAnsi="Arial" w:cs="Arial"/>
              </w:rPr>
              <w:t>any potential, extra support that students might need in their placement.</w:t>
            </w:r>
          </w:p>
          <w:p w14:paraId="64DC71B7" w14:textId="77777777" w:rsidR="007A5505" w:rsidRPr="007A5505" w:rsidRDefault="007A5505" w:rsidP="00641B1B">
            <w:pPr>
              <w:spacing w:before="120" w:after="120"/>
              <w:rPr>
                <w:rFonts w:ascii="Arial" w:hAnsi="Arial" w:cs="Arial"/>
              </w:rPr>
            </w:pPr>
            <w:r w:rsidRPr="007A5505">
              <w:rPr>
                <w:rFonts w:ascii="Arial" w:hAnsi="Arial" w:cs="Arial"/>
              </w:rPr>
              <w:t>This could include:</w:t>
            </w:r>
          </w:p>
          <w:p w14:paraId="780362D4" w14:textId="4A39ED4D" w:rsidR="007A5505" w:rsidRPr="007A5505" w:rsidRDefault="007A5505" w:rsidP="00F13FA9">
            <w:pPr>
              <w:numPr>
                <w:ilvl w:val="0"/>
                <w:numId w:val="8"/>
              </w:numPr>
              <w:spacing w:before="120" w:after="120"/>
              <w:ind w:hanging="325"/>
              <w:rPr>
                <w:rFonts w:ascii="Arial" w:hAnsi="Arial" w:cs="Arial"/>
              </w:rPr>
            </w:pPr>
            <w:r w:rsidRPr="007A5505">
              <w:rPr>
                <w:rFonts w:ascii="Arial" w:hAnsi="Arial" w:cs="Arial"/>
              </w:rPr>
              <w:t>travel to and from the workplace</w:t>
            </w:r>
            <w:r w:rsidR="00D42E9C">
              <w:rPr>
                <w:rFonts w:ascii="Arial" w:hAnsi="Arial" w:cs="Arial"/>
              </w:rPr>
              <w:t>.</w:t>
            </w:r>
          </w:p>
          <w:p w14:paraId="34F347B1" w14:textId="2B517EFC" w:rsidR="007A5505" w:rsidRPr="007A5505" w:rsidRDefault="007A5505" w:rsidP="00F13FA9">
            <w:pPr>
              <w:numPr>
                <w:ilvl w:val="0"/>
                <w:numId w:val="8"/>
              </w:numPr>
              <w:spacing w:before="120" w:after="120"/>
              <w:ind w:hanging="325"/>
              <w:rPr>
                <w:rFonts w:ascii="Arial" w:hAnsi="Arial" w:cs="Arial"/>
              </w:rPr>
            </w:pPr>
            <w:r w:rsidRPr="007A5505">
              <w:rPr>
                <w:rFonts w:ascii="Arial" w:hAnsi="Arial" w:cs="Arial"/>
              </w:rPr>
              <w:t>special equipment or adaptations such as computer apps or programmes designed to provide specific support, ensuring information is available in an accessible format</w:t>
            </w:r>
            <w:r w:rsidR="00D42E9C">
              <w:rPr>
                <w:rFonts w:ascii="Arial" w:hAnsi="Arial" w:cs="Arial"/>
              </w:rPr>
              <w:t>.</w:t>
            </w:r>
          </w:p>
          <w:p w14:paraId="741221B2" w14:textId="7081657B" w:rsidR="007A5505" w:rsidRPr="007A5505" w:rsidRDefault="007A5505" w:rsidP="00F13FA9">
            <w:pPr>
              <w:numPr>
                <w:ilvl w:val="0"/>
                <w:numId w:val="8"/>
              </w:numPr>
              <w:spacing w:before="120" w:after="120"/>
              <w:ind w:hanging="325"/>
              <w:rPr>
                <w:rFonts w:ascii="Arial" w:hAnsi="Arial" w:cs="Arial"/>
              </w:rPr>
            </w:pPr>
            <w:r w:rsidRPr="007A5505">
              <w:rPr>
                <w:rFonts w:ascii="Arial" w:hAnsi="Arial" w:cs="Arial"/>
              </w:rPr>
              <w:t>an independent mentor</w:t>
            </w:r>
            <w:r w:rsidR="00D42E9C">
              <w:rPr>
                <w:rFonts w:ascii="Arial" w:hAnsi="Arial" w:cs="Arial"/>
              </w:rPr>
              <w:t>.</w:t>
            </w:r>
          </w:p>
          <w:p w14:paraId="76A3A60B" w14:textId="2F1F1B04" w:rsidR="007A5505" w:rsidRPr="007A5505" w:rsidRDefault="007A5505" w:rsidP="00F13FA9">
            <w:pPr>
              <w:numPr>
                <w:ilvl w:val="0"/>
                <w:numId w:val="8"/>
              </w:numPr>
              <w:spacing w:before="120" w:after="120"/>
              <w:ind w:hanging="325"/>
              <w:rPr>
                <w:rFonts w:ascii="Arial" w:hAnsi="Arial" w:cs="Arial"/>
              </w:rPr>
            </w:pPr>
            <w:r w:rsidRPr="007A5505">
              <w:rPr>
                <w:rFonts w:ascii="Arial" w:hAnsi="Arial" w:cs="Arial"/>
              </w:rPr>
              <w:t>a job coach for students with more complex needs, providing full-time supervision to help them become more confident and proficient at work</w:t>
            </w:r>
            <w:r w:rsidR="00D42E9C">
              <w:rPr>
                <w:rFonts w:ascii="Arial" w:hAnsi="Arial" w:cs="Arial"/>
              </w:rPr>
              <w:t>.</w:t>
            </w:r>
          </w:p>
          <w:p w14:paraId="6B58B9D4" w14:textId="575C41B1" w:rsidR="007A5505" w:rsidRDefault="007A5505" w:rsidP="00F13FA9">
            <w:pPr>
              <w:numPr>
                <w:ilvl w:val="0"/>
                <w:numId w:val="8"/>
              </w:numPr>
              <w:spacing w:before="120" w:after="120"/>
              <w:ind w:hanging="325"/>
              <w:rPr>
                <w:rFonts w:ascii="Arial" w:hAnsi="Arial" w:cs="Arial"/>
              </w:rPr>
            </w:pPr>
            <w:r w:rsidRPr="007A5505">
              <w:rPr>
                <w:rFonts w:ascii="Arial" w:hAnsi="Arial" w:cs="Arial"/>
              </w:rPr>
              <w:t>support from the student’s parents or carers</w:t>
            </w:r>
            <w:r w:rsidR="00D42E9C">
              <w:rPr>
                <w:rFonts w:ascii="Arial" w:hAnsi="Arial" w:cs="Arial"/>
              </w:rPr>
              <w:t>.</w:t>
            </w:r>
          </w:p>
          <w:p w14:paraId="69E86391" w14:textId="04F7A9A4" w:rsidR="00AB7D50" w:rsidRDefault="00AB7D50" w:rsidP="00F13FA9">
            <w:pPr>
              <w:numPr>
                <w:ilvl w:val="0"/>
                <w:numId w:val="8"/>
              </w:numPr>
              <w:spacing w:before="120" w:after="120"/>
              <w:ind w:hanging="325"/>
              <w:rPr>
                <w:rFonts w:ascii="Arial" w:hAnsi="Arial" w:cs="Arial"/>
              </w:rPr>
            </w:pPr>
            <w:r w:rsidRPr="00AB7D50">
              <w:rPr>
                <w:rFonts w:ascii="Arial" w:hAnsi="Arial" w:cs="Arial"/>
              </w:rPr>
              <w:t>help</w:t>
            </w:r>
            <w:r>
              <w:rPr>
                <w:rFonts w:ascii="Arial" w:hAnsi="Arial" w:cs="Arial"/>
              </w:rPr>
              <w:t xml:space="preserve"> in</w:t>
            </w:r>
            <w:r w:rsidR="007A5505" w:rsidRPr="007A5505">
              <w:rPr>
                <w:rFonts w:ascii="Arial" w:hAnsi="Arial" w:cs="Arial"/>
              </w:rPr>
              <w:t xml:space="preserve"> carr</w:t>
            </w:r>
            <w:r w:rsidR="00D42E9C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ing</w:t>
            </w:r>
            <w:r w:rsidR="007A5505" w:rsidRPr="007A5505">
              <w:rPr>
                <w:rFonts w:ascii="Arial" w:hAnsi="Arial" w:cs="Arial"/>
              </w:rPr>
              <w:t xml:space="preserve"> out risk assessments and health and safety checks, with the individual student’s needs in mind</w:t>
            </w:r>
            <w:r w:rsidR="00D42E9C">
              <w:rPr>
                <w:rFonts w:ascii="Arial" w:hAnsi="Arial" w:cs="Arial"/>
              </w:rPr>
              <w:t>.</w:t>
            </w:r>
          </w:p>
          <w:p w14:paraId="6C48B0F5" w14:textId="2C339D72" w:rsidR="007A5505" w:rsidRDefault="007A5505" w:rsidP="00F13FA9">
            <w:pPr>
              <w:numPr>
                <w:ilvl w:val="0"/>
                <w:numId w:val="8"/>
              </w:numPr>
              <w:spacing w:before="120" w:after="120"/>
              <w:ind w:hanging="325"/>
              <w:rPr>
                <w:rFonts w:ascii="Arial" w:hAnsi="Arial" w:cs="Arial"/>
              </w:rPr>
            </w:pPr>
            <w:r w:rsidRPr="007A5505">
              <w:rPr>
                <w:rFonts w:ascii="Arial" w:hAnsi="Arial" w:cs="Arial"/>
              </w:rPr>
              <w:t>help with the important early days of the placement, to ensure that the student settles well and that you as the employer feel supported</w:t>
            </w:r>
            <w:r w:rsidR="00D42E9C">
              <w:rPr>
                <w:rFonts w:ascii="Arial" w:hAnsi="Arial" w:cs="Arial"/>
              </w:rPr>
              <w:t>.</w:t>
            </w:r>
          </w:p>
          <w:p w14:paraId="5AC248BB" w14:textId="5E5ACDC3" w:rsidR="007A5505" w:rsidRPr="00641B1B" w:rsidRDefault="00AB7D50" w:rsidP="00F13FA9">
            <w:pPr>
              <w:numPr>
                <w:ilvl w:val="0"/>
                <w:numId w:val="8"/>
              </w:numPr>
              <w:spacing w:before="120" w:after="120"/>
              <w:ind w:hanging="325"/>
              <w:rPr>
                <w:rFonts w:ascii="Arial" w:hAnsi="Arial" w:cs="Arial"/>
              </w:rPr>
            </w:pPr>
            <w:r w:rsidRPr="00AB7D50">
              <w:rPr>
                <w:rFonts w:ascii="Arial" w:hAnsi="Arial" w:cs="Arial"/>
              </w:rPr>
              <w:t>help</w:t>
            </w:r>
            <w:r w:rsidR="007A5505" w:rsidRPr="007A5505">
              <w:rPr>
                <w:rFonts w:ascii="Arial" w:hAnsi="Arial" w:cs="Arial"/>
              </w:rPr>
              <w:t xml:space="preserve"> setting up </w:t>
            </w:r>
            <w:r>
              <w:rPr>
                <w:rFonts w:ascii="Arial" w:hAnsi="Arial" w:cs="Arial"/>
              </w:rPr>
              <w:t xml:space="preserve">any </w:t>
            </w:r>
            <w:r w:rsidR="007A5505" w:rsidRPr="007A5505">
              <w:rPr>
                <w:rFonts w:ascii="Arial" w:hAnsi="Arial" w:cs="Arial"/>
              </w:rPr>
              <w:t>equipment, accessibility checks of the premises, and supporting introductions to the team members.</w:t>
            </w:r>
          </w:p>
        </w:tc>
        <w:tc>
          <w:tcPr>
            <w:tcW w:w="4592" w:type="dxa"/>
          </w:tcPr>
          <w:p w14:paraId="3CF597BE" w14:textId="77777777" w:rsidR="00AB7D50" w:rsidRDefault="009D538E" w:rsidP="00641B1B">
            <w:pPr>
              <w:spacing w:before="120" w:after="120"/>
              <w:rPr>
                <w:rFonts w:ascii="Arial" w:hAnsi="Arial" w:cs="Arial"/>
              </w:rPr>
            </w:pPr>
            <w:hyperlink r:id="rId12" w:history="1">
              <w:r w:rsidR="00AB7D50" w:rsidRPr="007A5505">
                <w:rPr>
                  <w:rStyle w:val="Hyperlink"/>
                  <w:rFonts w:ascii="Arial" w:hAnsi="Arial" w:cs="Arial"/>
                </w:rPr>
                <w:t>Disability Confident and CIPD guidance</w:t>
              </w:r>
              <w:r w:rsidR="00AB7D50" w:rsidRPr="007A5505">
                <w:rPr>
                  <w:rStyle w:val="Hyperlink"/>
                  <w:rFonts w:ascii="Arial" w:hAnsi="Arial" w:cs="Arial"/>
                  <w:i/>
                  <w:iCs/>
                </w:rPr>
                <w:t xml:space="preserve"> </w:t>
              </w:r>
            </w:hyperlink>
          </w:p>
          <w:p w14:paraId="6A6D0CB7" w14:textId="77777777" w:rsidR="007A5505" w:rsidRDefault="007A5505" w:rsidP="00641B1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97916" w:rsidRPr="00B711FA" w14:paraId="03C048C3" w14:textId="77777777" w:rsidTr="2D3AAEE1">
        <w:trPr>
          <w:cantSplit/>
        </w:trPr>
        <w:tc>
          <w:tcPr>
            <w:tcW w:w="3685" w:type="dxa"/>
          </w:tcPr>
          <w:p w14:paraId="41F6D69F" w14:textId="729B53E8" w:rsidR="00397916" w:rsidRDefault="00397916" w:rsidP="00641B1B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We might be able to offer a student with SEND a placement but not for the whole 315 hours.</w:t>
            </w:r>
          </w:p>
        </w:tc>
        <w:tc>
          <w:tcPr>
            <w:tcW w:w="5953" w:type="dxa"/>
          </w:tcPr>
          <w:p w14:paraId="2F37ECBF" w14:textId="6BC8D732" w:rsidR="00E82648" w:rsidRDefault="00397916" w:rsidP="00641B1B">
            <w:pPr>
              <w:spacing w:before="120" w:after="120"/>
              <w:rPr>
                <w:rFonts w:ascii="Arial" w:hAnsi="Arial" w:cs="Arial"/>
              </w:rPr>
            </w:pPr>
            <w:r w:rsidRPr="00397916">
              <w:rPr>
                <w:rFonts w:ascii="Arial" w:hAnsi="Arial" w:cs="Arial"/>
              </w:rPr>
              <w:t xml:space="preserve">Students with SEND can spend up to one third of their placement hours working in </w:t>
            </w:r>
            <w:r w:rsidR="00E82648">
              <w:rPr>
                <w:rFonts w:ascii="Arial" w:hAnsi="Arial" w:cs="Arial"/>
              </w:rPr>
              <w:t>our</w:t>
            </w:r>
            <w:r>
              <w:rPr>
                <w:rFonts w:ascii="Arial" w:hAnsi="Arial" w:cs="Arial"/>
              </w:rPr>
              <w:t xml:space="preserve"> facilities (</w:t>
            </w:r>
            <w:r w:rsidRPr="00397916">
              <w:rPr>
                <w:rFonts w:ascii="Arial" w:hAnsi="Arial" w:cs="Arial"/>
              </w:rPr>
              <w:t xml:space="preserve">so long as it is relevant to </w:t>
            </w:r>
            <w:r>
              <w:rPr>
                <w:rFonts w:ascii="Arial" w:hAnsi="Arial" w:cs="Arial"/>
              </w:rPr>
              <w:t xml:space="preserve">the </w:t>
            </w:r>
            <w:r w:rsidRPr="00397916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/>
              </w:rPr>
              <w:t>’</w:t>
            </w:r>
            <w:r w:rsidRPr="00397916">
              <w:rPr>
                <w:rFonts w:ascii="Arial" w:hAnsi="Arial" w:cs="Arial"/>
              </w:rPr>
              <w:t>s T Level pathway and/or occupational specialism</w:t>
            </w:r>
            <w:r>
              <w:rPr>
                <w:rFonts w:ascii="Arial" w:hAnsi="Arial" w:cs="Arial"/>
              </w:rPr>
              <w:t>)</w:t>
            </w:r>
            <w:r w:rsidRPr="00397916">
              <w:rPr>
                <w:rFonts w:ascii="Arial" w:hAnsi="Arial" w:cs="Arial"/>
              </w:rPr>
              <w:t xml:space="preserve">. </w:t>
            </w:r>
          </w:p>
          <w:p w14:paraId="35946A41" w14:textId="16FFBB58" w:rsidR="00397916" w:rsidRDefault="00397916" w:rsidP="00641B1B">
            <w:pPr>
              <w:spacing w:before="120" w:after="120"/>
              <w:rPr>
                <w:rFonts w:ascii="Arial" w:hAnsi="Arial" w:cs="Arial"/>
              </w:rPr>
            </w:pPr>
            <w:r w:rsidRPr="00397916">
              <w:rPr>
                <w:rFonts w:ascii="Arial" w:hAnsi="Arial" w:cs="Arial"/>
              </w:rPr>
              <w:t xml:space="preserve">This </w:t>
            </w:r>
            <w:r w:rsidR="00E82648">
              <w:rPr>
                <w:rFonts w:ascii="Arial" w:hAnsi="Arial" w:cs="Arial"/>
              </w:rPr>
              <w:t>will</w:t>
            </w:r>
            <w:r w:rsidRPr="00397916">
              <w:rPr>
                <w:rFonts w:ascii="Arial" w:hAnsi="Arial" w:cs="Arial"/>
              </w:rPr>
              <w:t xml:space="preserve"> help build the students’ confidence before undertaking the remainder of their placement hours with </w:t>
            </w:r>
            <w:r>
              <w:rPr>
                <w:rFonts w:ascii="Arial" w:hAnsi="Arial" w:cs="Arial"/>
              </w:rPr>
              <w:t>you as the e</w:t>
            </w:r>
            <w:r w:rsidRPr="00397916">
              <w:rPr>
                <w:rFonts w:ascii="Arial" w:hAnsi="Arial" w:cs="Arial"/>
              </w:rPr>
              <w:t>xternal employer.</w:t>
            </w:r>
          </w:p>
        </w:tc>
        <w:tc>
          <w:tcPr>
            <w:tcW w:w="4592" w:type="dxa"/>
          </w:tcPr>
          <w:p w14:paraId="19BD06F3" w14:textId="30310741" w:rsidR="00397916" w:rsidRDefault="00275FBD" w:rsidP="00641B1B">
            <w:pPr>
              <w:spacing w:before="120" w:after="120"/>
            </w:pPr>
            <w:hyperlink r:id="rId13" w:history="1">
              <w:r w:rsidRPr="00275FBD">
                <w:rPr>
                  <w:rStyle w:val="Hyperlink"/>
                </w:rPr>
                <w:t xml:space="preserve"> Industry placement delivery approaches</w:t>
              </w:r>
            </w:hyperlink>
          </w:p>
        </w:tc>
      </w:tr>
    </w:tbl>
    <w:p w14:paraId="59CBF93F" w14:textId="1BB54C59" w:rsidR="00174EE8" w:rsidRDefault="00C54F3B">
      <w:r>
        <w:rPr>
          <w:rFonts w:ascii="Arial" w:hAnsi="Arial" w:cs="Arial"/>
          <w:b/>
          <w:bCs/>
          <w:i/>
          <w:iCs/>
          <w:color w:val="FF0000"/>
        </w:rPr>
        <w:t xml:space="preserve"> </w:t>
      </w:r>
    </w:p>
    <w:sectPr w:rsidR="00174EE8" w:rsidSect="00AB1C93">
      <w:headerReference w:type="default" r:id="rId14"/>
      <w:footerReference w:type="default" r:id="rId15"/>
      <w:pgSz w:w="16838" w:h="11906" w:orient="landscape" w:code="9"/>
      <w:pgMar w:top="1418" w:right="1418" w:bottom="851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15F2" w14:textId="77777777" w:rsidR="00AB1C93" w:rsidRDefault="00AB1C93">
      <w:r>
        <w:separator/>
      </w:r>
    </w:p>
  </w:endnote>
  <w:endnote w:type="continuationSeparator" w:id="0">
    <w:p w14:paraId="32EFC18C" w14:textId="77777777" w:rsidR="00AB1C93" w:rsidRDefault="00AB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8295" w14:textId="77777777" w:rsidR="006060BA" w:rsidRDefault="009D538E">
    <w:pPr>
      <w:pStyle w:val="Footer"/>
    </w:pPr>
    <w:r>
      <w:rPr>
        <w:noProof/>
      </w:rPr>
      <w:drawing>
        <wp:inline distT="0" distB="0" distL="0" distR="0" wp14:anchorId="79F6B668" wp14:editId="08C0BE2D">
          <wp:extent cx="1104900" cy="381000"/>
          <wp:effectExtent l="0" t="0" r="0" b="0"/>
          <wp:docPr id="260584715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584715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A17D" w14:textId="77777777" w:rsidR="00AB1C93" w:rsidRDefault="00AB1C93">
      <w:r>
        <w:separator/>
      </w:r>
    </w:p>
  </w:footnote>
  <w:footnote w:type="continuationSeparator" w:id="0">
    <w:p w14:paraId="73DE683E" w14:textId="77777777" w:rsidR="00AB1C93" w:rsidRDefault="00AB1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602F" w14:textId="087C40D6" w:rsidR="006060BA" w:rsidRDefault="009D538E" w:rsidP="00B34560">
    <w:pPr>
      <w:pStyle w:val="Header"/>
      <w:spacing w:after="120"/>
    </w:pPr>
    <w:r>
      <w:rPr>
        <w:noProof/>
      </w:rPr>
      <w:drawing>
        <wp:inline distT="0" distB="0" distL="0" distR="0" wp14:anchorId="6A202DB1" wp14:editId="6F85C580">
          <wp:extent cx="1699939" cy="556351"/>
          <wp:effectExtent l="0" t="0" r="0" b="0"/>
          <wp:docPr id="1331129279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129279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745" cy="57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A069D"/>
    <w:multiLevelType w:val="hybridMultilevel"/>
    <w:tmpl w:val="539AC0CE"/>
    <w:lvl w:ilvl="0" w:tplc="974236EC">
      <w:start w:val="4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A245E"/>
    <w:multiLevelType w:val="hybridMultilevel"/>
    <w:tmpl w:val="AE5EE46A"/>
    <w:lvl w:ilvl="0" w:tplc="D6FAC78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354A8"/>
    <w:multiLevelType w:val="hybridMultilevel"/>
    <w:tmpl w:val="2604EE28"/>
    <w:lvl w:ilvl="0" w:tplc="6DF6F46A">
      <w:start w:val="8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27E56"/>
    <w:multiLevelType w:val="hybridMultilevel"/>
    <w:tmpl w:val="9144807A"/>
    <w:lvl w:ilvl="0" w:tplc="08AAD298">
      <w:start w:val="5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41CDC"/>
    <w:multiLevelType w:val="multilevel"/>
    <w:tmpl w:val="B88AF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BC533C"/>
    <w:multiLevelType w:val="hybridMultilevel"/>
    <w:tmpl w:val="FCE0D5F4"/>
    <w:lvl w:ilvl="0" w:tplc="C7161034">
      <w:start w:val="7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60E33"/>
    <w:multiLevelType w:val="hybridMultilevel"/>
    <w:tmpl w:val="B6E29B7E"/>
    <w:lvl w:ilvl="0" w:tplc="5AC8264C">
      <w:start w:val="6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64290"/>
    <w:multiLevelType w:val="hybridMultilevel"/>
    <w:tmpl w:val="241A3AD6"/>
    <w:lvl w:ilvl="0" w:tplc="3E3E537C">
      <w:start w:val="3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024407">
    <w:abstractNumId w:val="1"/>
  </w:num>
  <w:num w:numId="2" w16cid:durableId="1714771917">
    <w:abstractNumId w:val="7"/>
  </w:num>
  <w:num w:numId="3" w16cid:durableId="1737582316">
    <w:abstractNumId w:val="0"/>
  </w:num>
  <w:num w:numId="4" w16cid:durableId="1415084123">
    <w:abstractNumId w:val="3"/>
  </w:num>
  <w:num w:numId="5" w16cid:durableId="2057461970">
    <w:abstractNumId w:val="6"/>
  </w:num>
  <w:num w:numId="6" w16cid:durableId="1138379085">
    <w:abstractNumId w:val="5"/>
  </w:num>
  <w:num w:numId="7" w16cid:durableId="539703007">
    <w:abstractNumId w:val="2"/>
  </w:num>
  <w:num w:numId="8" w16cid:durableId="1174107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3B"/>
    <w:rsid w:val="00050976"/>
    <w:rsid w:val="000F41D0"/>
    <w:rsid w:val="00174EE8"/>
    <w:rsid w:val="001D2780"/>
    <w:rsid w:val="00275FBD"/>
    <w:rsid w:val="002879D9"/>
    <w:rsid w:val="002A433A"/>
    <w:rsid w:val="002B5ECE"/>
    <w:rsid w:val="00397916"/>
    <w:rsid w:val="00415C51"/>
    <w:rsid w:val="00422D65"/>
    <w:rsid w:val="00563F5D"/>
    <w:rsid w:val="006060BA"/>
    <w:rsid w:val="006321BE"/>
    <w:rsid w:val="00641B1B"/>
    <w:rsid w:val="006F6E22"/>
    <w:rsid w:val="007564BC"/>
    <w:rsid w:val="007A5505"/>
    <w:rsid w:val="008D3132"/>
    <w:rsid w:val="00977674"/>
    <w:rsid w:val="009D27BA"/>
    <w:rsid w:val="009D538E"/>
    <w:rsid w:val="009E093A"/>
    <w:rsid w:val="00A106ED"/>
    <w:rsid w:val="00A30B0C"/>
    <w:rsid w:val="00AA1296"/>
    <w:rsid w:val="00AB1C93"/>
    <w:rsid w:val="00AB7D50"/>
    <w:rsid w:val="00B34560"/>
    <w:rsid w:val="00BE298D"/>
    <w:rsid w:val="00C002B4"/>
    <w:rsid w:val="00C54F3B"/>
    <w:rsid w:val="00D33E70"/>
    <w:rsid w:val="00D42E9C"/>
    <w:rsid w:val="00D624FA"/>
    <w:rsid w:val="00D87FF9"/>
    <w:rsid w:val="00DA6CD0"/>
    <w:rsid w:val="00DB7790"/>
    <w:rsid w:val="00DC74F1"/>
    <w:rsid w:val="00DE5D8B"/>
    <w:rsid w:val="00E205E5"/>
    <w:rsid w:val="00E54F8A"/>
    <w:rsid w:val="00E82648"/>
    <w:rsid w:val="00ED19FE"/>
    <w:rsid w:val="00F13FA9"/>
    <w:rsid w:val="00F53329"/>
    <w:rsid w:val="00F81D00"/>
    <w:rsid w:val="00F958D4"/>
    <w:rsid w:val="2D3AAEE1"/>
    <w:rsid w:val="61A5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D9F3"/>
  <w15:chartTrackingRefBased/>
  <w15:docId w15:val="{C4EF3FF1-272F-46FC-B317-437C831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3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F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F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F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F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F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F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F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F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F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F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F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F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F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F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F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F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F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F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F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4F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F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F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F3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4F3B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C54F3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A55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5505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mployers.tlevels.gov.uk/hc/en-gb/articles/10007415795602-Industry-placement-delivery-approach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disability-confident-and-cipd-guide-for-line-managers-on-employing-people-with-a-disability-or-health-condi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ployers.tlevels.gov.uk/hc/en-gb/articles/4403442966290-Supporting-industry-placement-students-with-special-educational-needs-and-disabiliti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mployers.tlevels.gov.uk/hc/en-gb/articles/4403442966290-Supporting-industry-placement-students-with-Special-Educational-Needs-and-Disabilit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55405569884AB0A124CA152463B3" ma:contentTypeVersion="14" ma:contentTypeDescription="Create a new document." ma:contentTypeScope="" ma:versionID="5ad39137901209e0482e7546935faeb2">
  <xsd:schema xmlns:xsd="http://www.w3.org/2001/XMLSchema" xmlns:xs="http://www.w3.org/2001/XMLSchema" xmlns:p="http://schemas.microsoft.com/office/2006/metadata/properties" xmlns:ns2="e331b3de-4d89-4303-8187-0e0a31be41e9" xmlns:ns3="1fa43e64-8a6d-4c3d-bfba-c0d9753f4fb0" targetNamespace="http://schemas.microsoft.com/office/2006/metadata/properties" ma:root="true" ma:fieldsID="af86122f2e3e758737d2168d456e5155" ns2:_="" ns3:_="">
    <xsd:import namespace="e331b3de-4d89-4303-8187-0e0a31be41e9"/>
    <xsd:import namespace="1fa43e64-8a6d-4c3d-bfba-c0d9753f4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b3de-4d89-4303-8187-0e0a31be4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43e64-8a6d-4c3d-bfba-c0d9753f4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3bc2cb-7429-4bee-88ae-e52a19ab2b64}" ma:internalName="TaxCatchAll" ma:showField="CatchAllData" ma:web="1fa43e64-8a6d-4c3d-bfba-c0d9753f4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a43e64-8a6d-4c3d-bfba-c0d9753f4fb0" xsi:nil="true"/>
    <lcf76f155ced4ddcb4097134ff3c332f xmlns="e331b3de-4d89-4303-8187-0e0a31be41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4AC034-D42A-4785-B476-46B2B6243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CF09C-015D-48A2-8AF4-DFC56B15D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b3de-4d89-4303-8187-0e0a31be41e9"/>
    <ds:schemaRef ds:uri="1fa43e64-8a6d-4c3d-bfba-c0d9753f4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CA440B-0868-432D-8C7A-CBE3CCF3377B}">
  <ds:schemaRefs>
    <ds:schemaRef ds:uri="http://schemas.microsoft.com/office/2006/metadata/properties"/>
    <ds:schemaRef ds:uri="http://schemas.microsoft.com/office/infopath/2007/PartnerControls"/>
    <ds:schemaRef ds:uri="1fa43e64-8a6d-4c3d-bfba-c0d9753f4fb0"/>
    <ds:schemaRef ds:uri="e331b3de-4d89-4303-8187-0e0a31be41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Gilmartin</dc:creator>
  <cp:keywords/>
  <dc:description/>
  <cp:lastModifiedBy>Anna Sutton</cp:lastModifiedBy>
  <cp:revision>29</cp:revision>
  <dcterms:created xsi:type="dcterms:W3CDTF">2024-03-19T16:25:00Z</dcterms:created>
  <dcterms:modified xsi:type="dcterms:W3CDTF">2024-04-09T10:50:00Z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0x0101002E4F55405569884AB0A124CA152463B3</vt:lpwstr>
  </property>
  <property fmtid="{D5CDD505-2E9C-101B-9397-08002B2CF9AE}" pid="3" name="MediaServiceImageTags">
    <vt:lpwstr/>
  </property>
</Properties>
</file>